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i w:val="0"/>
          <w:iCs w:val="0"/>
          <w:caps w:val="0"/>
          <w:snapToGrid/>
          <w:color w:val="000000"/>
          <w:spacing w:val="0"/>
          <w:kern w:val="0"/>
          <w:sz w:val="28"/>
          <w:szCs w:val="28"/>
          <w:u w:val="none"/>
          <w:lang w:val="en-US" w:eastAsia="zh-CN" w:bidi="ar"/>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b/>
          <w:bCs/>
          <w:i w:val="0"/>
          <w:iCs w:val="0"/>
          <w:caps w:val="0"/>
          <w:snapToGrid/>
          <w:color w:val="000000"/>
          <w:spacing w:val="0"/>
          <w:kern w:val="0"/>
          <w:sz w:val="32"/>
          <w:szCs w:val="32"/>
          <w:u w:val="none"/>
          <w:lang w:val="en-US" w:eastAsia="zh-CN" w:bidi="ar"/>
        </w:rPr>
      </w:pPr>
      <w:r>
        <w:rPr>
          <w:rFonts w:hint="eastAsia" w:ascii="仿宋" w:hAnsi="仿宋" w:eastAsia="仿宋" w:cs="仿宋"/>
          <w:b/>
          <w:bCs/>
          <w:i w:val="0"/>
          <w:iCs w:val="0"/>
          <w:caps w:val="0"/>
          <w:snapToGrid/>
          <w:color w:val="000000"/>
          <w:spacing w:val="0"/>
          <w:kern w:val="0"/>
          <w:sz w:val="32"/>
          <w:szCs w:val="32"/>
          <w:u w:val="none"/>
          <w:lang w:val="en-US" w:eastAsia="zh-CN" w:bidi="ar"/>
        </w:rPr>
        <w:t>海南省财税学校关于遴选红城湖路校区增容配电采购项目监理单位的评审细则</w:t>
      </w:r>
    </w:p>
    <w:p>
      <w:pPr>
        <w:rPr>
          <w:rFonts w:hint="eastAsia" w:ascii="仿宋" w:hAnsi="仿宋" w:eastAsia="仿宋" w:cs="仿宋"/>
          <w:b/>
          <w:bCs/>
          <w:i w:val="0"/>
          <w:iCs w:val="0"/>
          <w:caps w:val="0"/>
          <w:snapToGrid/>
          <w:color w:val="000000"/>
          <w:spacing w:val="0"/>
          <w:kern w:val="0"/>
          <w:sz w:val="28"/>
          <w:szCs w:val="28"/>
          <w:u w:val="none"/>
          <w:lang w:val="en-US" w:eastAsia="zh-CN" w:bidi="ar"/>
        </w:rPr>
      </w:pPr>
      <w:r>
        <w:rPr>
          <w:rFonts w:hint="eastAsia" w:ascii="仿宋" w:hAnsi="仿宋" w:eastAsia="仿宋" w:cs="仿宋"/>
          <w:b/>
          <w:bCs/>
          <w:i w:val="0"/>
          <w:iCs w:val="0"/>
          <w:caps w:val="0"/>
          <w:snapToGrid/>
          <w:color w:val="000000"/>
          <w:spacing w:val="0"/>
          <w:kern w:val="0"/>
          <w:sz w:val="28"/>
          <w:szCs w:val="28"/>
          <w:u w:val="none"/>
          <w:lang w:val="en-US" w:eastAsia="zh-CN" w:bidi="ar"/>
        </w:rPr>
        <w:br w:type="page"/>
      </w:r>
    </w:p>
    <w:p>
      <w:pPr>
        <w:pStyle w:val="3"/>
        <w:spacing w:before="10" w:line="540" w:lineRule="exact"/>
        <w:jc w:val="both"/>
        <w:rPr>
          <w:rFonts w:hint="default" w:cs="宋体"/>
          <w:b/>
          <w:bCs/>
          <w:sz w:val="28"/>
          <w:szCs w:val="28"/>
          <w:lang w:val="en-US" w:eastAsia="zh-CN"/>
        </w:rPr>
      </w:pPr>
      <w:r>
        <w:rPr>
          <w:rFonts w:hint="eastAsia" w:cs="宋体"/>
          <w:b/>
          <w:bCs/>
          <w:sz w:val="28"/>
          <w:szCs w:val="28"/>
          <w:lang w:val="en-US" w:eastAsia="zh-CN"/>
        </w:rPr>
        <w:t>附表：</w:t>
      </w:r>
    </w:p>
    <w:p>
      <w:pPr>
        <w:pStyle w:val="3"/>
        <w:spacing w:before="10" w:line="540" w:lineRule="exact"/>
        <w:jc w:val="center"/>
        <w:rPr>
          <w:rFonts w:hint="default" w:eastAsia="宋体"/>
          <w:b/>
          <w:bCs/>
          <w:sz w:val="28"/>
          <w:szCs w:val="28"/>
          <w:lang w:val="en-US" w:eastAsia="zh-CN"/>
        </w:rPr>
      </w:pPr>
      <w:r>
        <w:rPr>
          <w:rFonts w:hint="eastAsia" w:cs="宋体"/>
          <w:b/>
          <w:bCs/>
          <w:sz w:val="28"/>
          <w:szCs w:val="28"/>
          <w:lang w:val="en-US" w:eastAsia="zh-CN"/>
        </w:rPr>
        <w:t>评审细则</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854"/>
        <w:gridCol w:w="2127"/>
        <w:gridCol w:w="710"/>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0" w:type="dxa"/>
            <w:gridSpan w:val="4"/>
            <w:noWrap w:val="0"/>
            <w:vAlign w:val="center"/>
          </w:tcPr>
          <w:p>
            <w:pPr>
              <w:adjustRightInd w:val="0"/>
              <w:snapToGrid w:val="0"/>
              <w:spacing w:line="440" w:lineRule="exact"/>
              <w:jc w:val="center"/>
              <w:rPr>
                <w:rFonts w:hint="eastAsia"/>
                <w:snapToGrid w:val="0"/>
                <w:sz w:val="28"/>
                <w:szCs w:val="28"/>
              </w:rPr>
            </w:pPr>
            <w:bookmarkStart w:id="0" w:name="评标办法前附表"/>
            <w:r>
              <w:rPr>
                <w:rFonts w:hint="eastAsia"/>
                <w:snapToGrid w:val="0"/>
                <w:sz w:val="28"/>
                <w:szCs w:val="28"/>
              </w:rPr>
              <w:t>分值构成</w:t>
            </w:r>
          </w:p>
        </w:tc>
        <w:tc>
          <w:tcPr>
            <w:tcW w:w="4780" w:type="dxa"/>
            <w:noWrap w:val="0"/>
            <w:vAlign w:val="center"/>
          </w:tcPr>
          <w:p>
            <w:pPr>
              <w:adjustRightInd w:val="0"/>
              <w:snapToGrid w:val="0"/>
              <w:spacing w:line="440" w:lineRule="exact"/>
              <w:rPr>
                <w:rFonts w:hint="eastAsia"/>
                <w:snapToGrid w:val="0"/>
                <w:sz w:val="28"/>
                <w:szCs w:val="28"/>
              </w:rPr>
            </w:pPr>
            <w:r>
              <w:rPr>
                <w:rFonts w:hint="eastAsia"/>
                <w:snapToGrid w:val="0"/>
                <w:sz w:val="28"/>
                <w:szCs w:val="28"/>
              </w:rPr>
              <w:t>监理大纲：</w:t>
            </w:r>
            <w:r>
              <w:rPr>
                <w:rFonts w:hint="eastAsia"/>
                <w:snapToGrid w:val="0"/>
                <w:sz w:val="28"/>
                <w:szCs w:val="28"/>
                <w:u w:val="single"/>
                <w:lang w:val="en-US" w:eastAsia="zh-CN"/>
              </w:rPr>
              <w:t>50</w:t>
            </w:r>
            <w:r>
              <w:rPr>
                <w:rFonts w:hint="eastAsia"/>
                <w:snapToGrid w:val="0"/>
                <w:sz w:val="28"/>
                <w:szCs w:val="28"/>
              </w:rPr>
              <w:t>分</w:t>
            </w:r>
          </w:p>
          <w:p>
            <w:pPr>
              <w:adjustRightInd w:val="0"/>
              <w:snapToGrid w:val="0"/>
              <w:spacing w:line="440" w:lineRule="exact"/>
              <w:rPr>
                <w:rFonts w:hint="eastAsia"/>
                <w:snapToGrid w:val="0"/>
                <w:sz w:val="28"/>
                <w:szCs w:val="28"/>
              </w:rPr>
            </w:pPr>
            <w:r>
              <w:rPr>
                <w:rFonts w:hint="eastAsia"/>
                <w:snapToGrid w:val="0"/>
                <w:sz w:val="28"/>
                <w:szCs w:val="28"/>
              </w:rPr>
              <w:t>监理资信：</w:t>
            </w:r>
            <w:r>
              <w:rPr>
                <w:rFonts w:hint="eastAsia"/>
                <w:snapToGrid w:val="0"/>
                <w:sz w:val="28"/>
                <w:szCs w:val="28"/>
                <w:u w:val="single"/>
                <w:lang w:val="en-US" w:eastAsia="zh-CN"/>
              </w:rPr>
              <w:t>40</w:t>
            </w:r>
            <w:r>
              <w:rPr>
                <w:rFonts w:hint="eastAsia"/>
                <w:snapToGrid w:val="0"/>
                <w:sz w:val="28"/>
                <w:szCs w:val="28"/>
              </w:rPr>
              <w:t>分</w:t>
            </w:r>
          </w:p>
          <w:p>
            <w:pPr>
              <w:adjustRightInd w:val="0"/>
              <w:snapToGrid w:val="0"/>
              <w:spacing w:line="440" w:lineRule="exact"/>
              <w:rPr>
                <w:rFonts w:hint="eastAsia"/>
                <w:snapToGrid w:val="0"/>
                <w:sz w:val="28"/>
                <w:szCs w:val="28"/>
              </w:rPr>
            </w:pPr>
            <w:r>
              <w:rPr>
                <w:rFonts w:hint="eastAsia"/>
                <w:snapToGrid w:val="0"/>
                <w:sz w:val="28"/>
                <w:szCs w:val="28"/>
              </w:rPr>
              <w:t>投标报价：</w:t>
            </w:r>
            <w:r>
              <w:rPr>
                <w:rFonts w:hint="eastAsia"/>
                <w:snapToGrid w:val="0"/>
                <w:sz w:val="28"/>
                <w:szCs w:val="28"/>
                <w:u w:val="single"/>
                <w:lang w:val="en-US" w:eastAsia="zh-CN"/>
              </w:rPr>
              <w:t>10</w:t>
            </w:r>
            <w:r>
              <w:rPr>
                <w:rFonts w:hint="eastAsia"/>
                <w:snapToGrid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3" w:type="dxa"/>
            <w:gridSpan w:val="2"/>
            <w:noWrap w:val="0"/>
            <w:vAlign w:val="center"/>
          </w:tcPr>
          <w:p>
            <w:pPr>
              <w:adjustRightInd w:val="0"/>
              <w:snapToGrid w:val="0"/>
              <w:spacing w:line="440" w:lineRule="exact"/>
              <w:jc w:val="center"/>
              <w:rPr>
                <w:rFonts w:hint="eastAsia"/>
                <w:b/>
                <w:snapToGrid w:val="0"/>
                <w:sz w:val="28"/>
                <w:szCs w:val="28"/>
              </w:rPr>
            </w:pPr>
            <w:r>
              <w:rPr>
                <w:rFonts w:hint="eastAsia"/>
                <w:b/>
                <w:snapToGrid w:val="0"/>
                <w:sz w:val="28"/>
                <w:szCs w:val="28"/>
              </w:rPr>
              <w:t>条款号</w:t>
            </w:r>
          </w:p>
        </w:tc>
        <w:tc>
          <w:tcPr>
            <w:tcW w:w="2127" w:type="dxa"/>
            <w:noWrap w:val="0"/>
            <w:vAlign w:val="center"/>
          </w:tcPr>
          <w:p>
            <w:pPr>
              <w:adjustRightInd w:val="0"/>
              <w:snapToGrid w:val="0"/>
              <w:spacing w:line="440" w:lineRule="exact"/>
              <w:jc w:val="center"/>
              <w:rPr>
                <w:rFonts w:hint="eastAsia"/>
                <w:b/>
                <w:snapToGrid w:val="0"/>
                <w:sz w:val="28"/>
                <w:szCs w:val="28"/>
              </w:rPr>
            </w:pPr>
            <w:r>
              <w:rPr>
                <w:rFonts w:hint="eastAsia"/>
                <w:b/>
                <w:snapToGrid w:val="0"/>
                <w:sz w:val="28"/>
                <w:szCs w:val="28"/>
              </w:rPr>
              <w:t>评审因素</w:t>
            </w:r>
          </w:p>
        </w:tc>
        <w:tc>
          <w:tcPr>
            <w:tcW w:w="710" w:type="dxa"/>
            <w:noWrap w:val="0"/>
            <w:vAlign w:val="center"/>
          </w:tcPr>
          <w:p>
            <w:pPr>
              <w:adjustRightInd w:val="0"/>
              <w:snapToGrid w:val="0"/>
              <w:spacing w:line="440" w:lineRule="exact"/>
              <w:jc w:val="center"/>
              <w:rPr>
                <w:rFonts w:hint="eastAsia"/>
                <w:b/>
                <w:snapToGrid w:val="0"/>
                <w:sz w:val="28"/>
                <w:szCs w:val="28"/>
              </w:rPr>
            </w:pPr>
            <w:r>
              <w:rPr>
                <w:rFonts w:hint="eastAsia"/>
                <w:b/>
                <w:snapToGrid w:val="0"/>
                <w:sz w:val="28"/>
                <w:szCs w:val="28"/>
              </w:rPr>
              <w:t>分值</w:t>
            </w:r>
          </w:p>
        </w:tc>
        <w:tc>
          <w:tcPr>
            <w:tcW w:w="4780" w:type="dxa"/>
            <w:noWrap w:val="0"/>
            <w:vAlign w:val="center"/>
          </w:tcPr>
          <w:p>
            <w:pPr>
              <w:adjustRightInd w:val="0"/>
              <w:snapToGrid w:val="0"/>
              <w:spacing w:line="440" w:lineRule="exact"/>
              <w:jc w:val="center"/>
              <w:rPr>
                <w:rFonts w:hint="eastAsia"/>
                <w:b/>
                <w:snapToGrid w:val="0"/>
                <w:sz w:val="28"/>
                <w:szCs w:val="28"/>
              </w:rPr>
            </w:pPr>
            <w:r>
              <w:rPr>
                <w:rFonts w:hint="eastAsia"/>
                <w:b/>
                <w:snapToGrid w:val="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restart"/>
            <w:noWrap w:val="0"/>
            <w:vAlign w:val="center"/>
          </w:tcPr>
          <w:p>
            <w:pPr>
              <w:adjustRightInd w:val="0"/>
              <w:snapToGrid w:val="0"/>
              <w:spacing w:line="440" w:lineRule="exact"/>
              <w:jc w:val="center"/>
              <w:rPr>
                <w:rFonts w:hint="eastAsia" w:eastAsia="宋体"/>
                <w:snapToGrid w:val="0"/>
                <w:sz w:val="28"/>
                <w:szCs w:val="28"/>
                <w:lang w:eastAsia="zh-CN"/>
              </w:rPr>
            </w:pPr>
            <w:r>
              <w:rPr>
                <w:rFonts w:hint="eastAsia"/>
                <w:snapToGrid w:val="0"/>
                <w:sz w:val="28"/>
                <w:szCs w:val="28"/>
                <w:lang w:val="en-US" w:eastAsia="zh-CN"/>
              </w:rPr>
              <w:t>1</w:t>
            </w:r>
          </w:p>
        </w:tc>
        <w:tc>
          <w:tcPr>
            <w:tcW w:w="854" w:type="dxa"/>
            <w:vMerge w:val="restart"/>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监理</w:t>
            </w:r>
          </w:p>
          <w:p>
            <w:pPr>
              <w:adjustRightInd w:val="0"/>
              <w:snapToGrid w:val="0"/>
              <w:spacing w:line="440" w:lineRule="exact"/>
              <w:jc w:val="center"/>
              <w:rPr>
                <w:rFonts w:hint="eastAsia"/>
                <w:snapToGrid w:val="0"/>
                <w:sz w:val="28"/>
                <w:szCs w:val="28"/>
              </w:rPr>
            </w:pPr>
            <w:r>
              <w:rPr>
                <w:rFonts w:hint="eastAsia"/>
                <w:snapToGrid w:val="0"/>
                <w:sz w:val="28"/>
                <w:szCs w:val="28"/>
              </w:rPr>
              <w:t>大纲</w:t>
            </w:r>
          </w:p>
        </w:tc>
        <w:tc>
          <w:tcPr>
            <w:tcW w:w="2127" w:type="dxa"/>
            <w:noWrap w:val="0"/>
            <w:vAlign w:val="center"/>
          </w:tcPr>
          <w:p>
            <w:pPr>
              <w:keepNext w:val="0"/>
              <w:keepLines w:val="0"/>
              <w:widowControl/>
              <w:suppressLineNumbers w:val="0"/>
              <w:jc w:val="center"/>
              <w:rPr>
                <w:rFonts w:hint="eastAsia"/>
                <w:snapToGrid w:val="0"/>
                <w:sz w:val="28"/>
                <w:szCs w:val="28"/>
              </w:rPr>
            </w:pPr>
            <w:r>
              <w:rPr>
                <w:rFonts w:hint="eastAsia"/>
                <w:snapToGrid w:val="0"/>
                <w:sz w:val="28"/>
                <w:szCs w:val="28"/>
                <w:lang w:val="en-US" w:eastAsia="zh-CN"/>
              </w:rPr>
              <w:t>监理范围、监理内容</w:t>
            </w:r>
          </w:p>
        </w:tc>
        <w:tc>
          <w:tcPr>
            <w:tcW w:w="710"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6</w:t>
            </w:r>
            <w:r>
              <w:rPr>
                <w:rFonts w:hint="eastAsia"/>
                <w:snapToGrid w:val="0"/>
                <w:sz w:val="28"/>
                <w:szCs w:val="28"/>
              </w:rPr>
              <w:t>分</w:t>
            </w:r>
          </w:p>
        </w:tc>
        <w:tc>
          <w:tcPr>
            <w:tcW w:w="4780" w:type="dxa"/>
            <w:noWrap w:val="0"/>
            <w:vAlign w:val="center"/>
          </w:tcPr>
          <w:p>
            <w:pPr>
              <w:adjustRightInd w:val="0"/>
              <w:snapToGrid w:val="0"/>
              <w:spacing w:line="440" w:lineRule="exact"/>
              <w:rPr>
                <w:rFonts w:hint="eastAsia" w:eastAsia="宋体"/>
                <w:snapToGrid w:val="0"/>
                <w:sz w:val="28"/>
                <w:szCs w:val="28"/>
                <w:u w:val="single"/>
                <w:lang w:eastAsia="zh-CN"/>
              </w:rPr>
            </w:pPr>
            <w:r>
              <w:rPr>
                <w:rFonts w:hint="eastAsia"/>
                <w:snapToGrid w:val="0"/>
                <w:sz w:val="28"/>
                <w:szCs w:val="28"/>
              </w:rPr>
              <w:t>1、目标明确、方法合理可行、措施具体、针对性强的得4.1~6.0分;</w:t>
            </w:r>
            <w:r>
              <w:rPr>
                <w:rFonts w:hint="eastAsia"/>
                <w:snapToGrid w:val="0"/>
                <w:sz w:val="28"/>
                <w:szCs w:val="28"/>
              </w:rPr>
              <w:br w:type="textWrapping"/>
            </w:r>
            <w:r>
              <w:rPr>
                <w:rFonts w:hint="eastAsia"/>
                <w:snapToGrid w:val="0"/>
                <w:sz w:val="28"/>
                <w:szCs w:val="28"/>
              </w:rPr>
              <w:t>2、目标基本明确、方法较合理、措施不具体、针对性不强的得2.1~4.0分;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r>
              <w:rPr>
                <w:rFonts w:hint="eastAsia"/>
                <w:snapToGrid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929" w:type="dxa"/>
            <w:vMerge w:val="continue"/>
            <w:noWrap w:val="0"/>
            <w:vAlign w:val="center"/>
          </w:tcPr>
          <w:p>
            <w:pPr>
              <w:adjustRightInd w:val="0"/>
              <w:snapToGrid w:val="0"/>
              <w:spacing w:line="440" w:lineRule="exact"/>
              <w:jc w:val="center"/>
              <w:rPr>
                <w:rFonts w:hint="eastAsia"/>
                <w:snapToGrid w:val="0"/>
                <w:sz w:val="28"/>
                <w:szCs w:val="28"/>
              </w:rPr>
            </w:pPr>
          </w:p>
        </w:tc>
        <w:tc>
          <w:tcPr>
            <w:tcW w:w="854" w:type="dxa"/>
            <w:vMerge w:val="continue"/>
            <w:noWrap w:val="0"/>
            <w:vAlign w:val="center"/>
          </w:tcPr>
          <w:p>
            <w:pPr>
              <w:adjustRightInd w:val="0"/>
              <w:snapToGrid w:val="0"/>
              <w:spacing w:line="440" w:lineRule="exact"/>
              <w:jc w:val="center"/>
              <w:rPr>
                <w:rFonts w:hint="eastAsia"/>
                <w:snapToGrid w:val="0"/>
                <w:sz w:val="28"/>
                <w:szCs w:val="28"/>
              </w:rPr>
            </w:pPr>
          </w:p>
        </w:tc>
        <w:tc>
          <w:tcPr>
            <w:tcW w:w="2127"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30"/>
                <w:szCs w:val="30"/>
              </w:rPr>
              <w:t>监理依据、监理工作目标</w:t>
            </w:r>
          </w:p>
        </w:tc>
        <w:tc>
          <w:tcPr>
            <w:tcW w:w="710"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6</w:t>
            </w:r>
            <w:r>
              <w:rPr>
                <w:rFonts w:hint="eastAsia"/>
                <w:snapToGrid w:val="0"/>
                <w:sz w:val="28"/>
                <w:szCs w:val="28"/>
              </w:rPr>
              <w:t>分</w:t>
            </w:r>
          </w:p>
        </w:tc>
        <w:tc>
          <w:tcPr>
            <w:tcW w:w="4780" w:type="dxa"/>
            <w:noWrap w:val="0"/>
            <w:vAlign w:val="center"/>
          </w:tcPr>
          <w:p>
            <w:pPr>
              <w:adjustRightInd w:val="0"/>
              <w:snapToGrid w:val="0"/>
              <w:spacing w:line="440" w:lineRule="exact"/>
              <w:rPr>
                <w:rFonts w:hint="eastAsia"/>
                <w:snapToGrid w:val="0"/>
                <w:sz w:val="28"/>
                <w:szCs w:val="28"/>
                <w:u w:val="single"/>
              </w:rPr>
            </w:pPr>
            <w:r>
              <w:rPr>
                <w:rFonts w:hint="eastAsia"/>
                <w:snapToGrid w:val="0"/>
                <w:sz w:val="28"/>
                <w:szCs w:val="28"/>
              </w:rPr>
              <w:t>1、监理依据、监理工作目标目标明确、方法合理可行、措施具体、针对性强的得4.1~6.0分;</w:t>
            </w:r>
            <w:r>
              <w:rPr>
                <w:rFonts w:hint="eastAsia"/>
                <w:snapToGrid w:val="0"/>
                <w:sz w:val="28"/>
                <w:szCs w:val="28"/>
              </w:rPr>
              <w:br w:type="textWrapping"/>
            </w:r>
            <w:r>
              <w:rPr>
                <w:rFonts w:hint="eastAsia"/>
                <w:snapToGrid w:val="0"/>
                <w:sz w:val="28"/>
                <w:szCs w:val="28"/>
              </w:rPr>
              <w:t>2、监理依据、监理工作目标基本明确、方法较合理措施不具体、针对性不强的得2.1~4.0分;</w:t>
            </w:r>
            <w:r>
              <w:rPr>
                <w:rFonts w:hint="eastAsia"/>
                <w:snapToGrid w:val="0"/>
                <w:sz w:val="28"/>
                <w:szCs w:val="28"/>
              </w:rPr>
              <w:br w:type="textWrapping"/>
            </w:r>
            <w:r>
              <w:rPr>
                <w:rFonts w:hint="eastAsia"/>
                <w:snapToGrid w:val="0"/>
                <w:sz w:val="28"/>
                <w:szCs w:val="28"/>
              </w:rPr>
              <w:t>3、监理依据、监理工作目标一般、方法一般、措施不得当、针对性差的得0.1~2.0分;</w:t>
            </w:r>
            <w:r>
              <w:rPr>
                <w:rFonts w:hint="eastAsia"/>
                <w:snapToGrid w:val="0"/>
                <w:sz w:val="28"/>
                <w:szCs w:val="28"/>
              </w:rPr>
              <w:br w:type="textWrapping"/>
            </w:r>
            <w:r>
              <w:rPr>
                <w:rFonts w:hint="eastAsia"/>
                <w:snapToGrid w:val="0"/>
                <w:sz w:val="28"/>
                <w:szCs w:val="28"/>
              </w:rPr>
              <w:t>4、如无此项得0分。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continue"/>
            <w:noWrap w:val="0"/>
            <w:vAlign w:val="center"/>
          </w:tcPr>
          <w:p>
            <w:pPr>
              <w:adjustRightInd w:val="0"/>
              <w:snapToGrid w:val="0"/>
              <w:spacing w:line="440" w:lineRule="exact"/>
              <w:jc w:val="center"/>
              <w:rPr>
                <w:rFonts w:hint="eastAsia"/>
                <w:snapToGrid w:val="0"/>
                <w:sz w:val="28"/>
                <w:szCs w:val="28"/>
              </w:rPr>
            </w:pPr>
          </w:p>
        </w:tc>
        <w:tc>
          <w:tcPr>
            <w:tcW w:w="854" w:type="dxa"/>
            <w:vMerge w:val="continue"/>
            <w:noWrap w:val="0"/>
            <w:vAlign w:val="center"/>
          </w:tcPr>
          <w:p>
            <w:pPr>
              <w:adjustRightInd w:val="0"/>
              <w:snapToGrid w:val="0"/>
              <w:spacing w:line="440" w:lineRule="exact"/>
              <w:jc w:val="center"/>
              <w:rPr>
                <w:rFonts w:hint="eastAsia"/>
                <w:snapToGrid w:val="0"/>
                <w:sz w:val="28"/>
                <w:szCs w:val="28"/>
              </w:rPr>
            </w:pPr>
          </w:p>
        </w:tc>
        <w:tc>
          <w:tcPr>
            <w:tcW w:w="2127"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监理机构设置和岗位职责</w:t>
            </w:r>
          </w:p>
        </w:tc>
        <w:tc>
          <w:tcPr>
            <w:tcW w:w="710"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6</w:t>
            </w:r>
            <w:r>
              <w:rPr>
                <w:rFonts w:hint="eastAsia"/>
                <w:snapToGrid w:val="0"/>
                <w:sz w:val="28"/>
                <w:szCs w:val="28"/>
              </w:rPr>
              <w:t>分</w:t>
            </w:r>
          </w:p>
        </w:tc>
        <w:tc>
          <w:tcPr>
            <w:tcW w:w="4780" w:type="dxa"/>
            <w:noWrap w:val="0"/>
            <w:vAlign w:val="center"/>
          </w:tcPr>
          <w:p>
            <w:pPr>
              <w:adjustRightInd w:val="0"/>
              <w:snapToGrid w:val="0"/>
              <w:spacing w:line="440" w:lineRule="exact"/>
              <w:rPr>
                <w:rFonts w:hint="eastAsia"/>
                <w:snapToGrid w:val="0"/>
                <w:sz w:val="28"/>
                <w:szCs w:val="28"/>
              </w:rPr>
            </w:pPr>
            <w:r>
              <w:rPr>
                <w:rFonts w:hint="eastAsia"/>
                <w:snapToGrid w:val="0"/>
                <w:sz w:val="28"/>
                <w:szCs w:val="28"/>
              </w:rPr>
              <w:t>1、监理组织机构设置完善，岗位职责清晰、分工明确，能充分满足工程需要的得4.1~6.0分;</w:t>
            </w:r>
            <w:r>
              <w:rPr>
                <w:rFonts w:hint="eastAsia"/>
                <w:snapToGrid w:val="0"/>
                <w:sz w:val="28"/>
                <w:szCs w:val="28"/>
              </w:rPr>
              <w:br w:type="textWrapping"/>
            </w:r>
            <w:r>
              <w:rPr>
                <w:rFonts w:hint="eastAsia"/>
                <w:snapToGrid w:val="0"/>
                <w:sz w:val="28"/>
                <w:szCs w:val="28"/>
              </w:rPr>
              <w:t>2、监理组织机构设置较完善，岗位职责较清晰、分工较明确，能满足工程需要的得2.1~4.0分;</w:t>
            </w:r>
            <w:r>
              <w:rPr>
                <w:rFonts w:hint="eastAsia"/>
                <w:snapToGrid w:val="0"/>
                <w:sz w:val="28"/>
                <w:szCs w:val="28"/>
              </w:rPr>
              <w:br w:type="textWrapping"/>
            </w:r>
            <w:r>
              <w:rPr>
                <w:rFonts w:hint="eastAsia"/>
                <w:snapToGrid w:val="0"/>
                <w:sz w:val="28"/>
                <w:szCs w:val="28"/>
              </w:rPr>
              <w:t>3、监理组织机构设置一般，岗位职责一般、分工一般，能基本满足工程需要的得0.1~2.0分;</w:t>
            </w:r>
            <w:r>
              <w:rPr>
                <w:rFonts w:hint="eastAsia"/>
                <w:snapToGrid w:val="0"/>
                <w:sz w:val="28"/>
                <w:szCs w:val="28"/>
              </w:rPr>
              <w:br w:type="textWrapping"/>
            </w:r>
            <w:r>
              <w:rPr>
                <w:rFonts w:hint="eastAsia"/>
                <w:snapToGrid w:val="0"/>
                <w:sz w:val="28"/>
                <w:szCs w:val="28"/>
              </w:rPr>
              <w:t>4、如无此项得0分。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continue"/>
            <w:noWrap w:val="0"/>
            <w:vAlign w:val="center"/>
          </w:tcPr>
          <w:p>
            <w:pPr>
              <w:adjustRightInd w:val="0"/>
              <w:snapToGrid w:val="0"/>
              <w:spacing w:line="440" w:lineRule="exact"/>
              <w:jc w:val="center"/>
              <w:rPr>
                <w:rFonts w:hint="eastAsia"/>
                <w:snapToGrid w:val="0"/>
                <w:sz w:val="28"/>
                <w:szCs w:val="28"/>
              </w:rPr>
            </w:pPr>
          </w:p>
        </w:tc>
        <w:tc>
          <w:tcPr>
            <w:tcW w:w="854" w:type="dxa"/>
            <w:vMerge w:val="continue"/>
            <w:noWrap w:val="0"/>
            <w:vAlign w:val="center"/>
          </w:tcPr>
          <w:p>
            <w:pPr>
              <w:adjustRightInd w:val="0"/>
              <w:snapToGrid w:val="0"/>
              <w:spacing w:line="440" w:lineRule="exact"/>
              <w:jc w:val="center"/>
              <w:rPr>
                <w:rFonts w:hint="eastAsia"/>
                <w:snapToGrid w:val="0"/>
                <w:sz w:val="28"/>
                <w:szCs w:val="28"/>
              </w:rPr>
            </w:pPr>
          </w:p>
        </w:tc>
        <w:tc>
          <w:tcPr>
            <w:tcW w:w="2127"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监理工作程序、方法和制度</w:t>
            </w:r>
          </w:p>
        </w:tc>
        <w:tc>
          <w:tcPr>
            <w:tcW w:w="710"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6</w:t>
            </w:r>
            <w:r>
              <w:rPr>
                <w:rFonts w:hint="eastAsia"/>
                <w:snapToGrid w:val="0"/>
                <w:sz w:val="28"/>
                <w:szCs w:val="28"/>
              </w:rPr>
              <w:t>分</w:t>
            </w:r>
          </w:p>
        </w:tc>
        <w:tc>
          <w:tcPr>
            <w:tcW w:w="4780" w:type="dxa"/>
            <w:noWrap w:val="0"/>
            <w:vAlign w:val="center"/>
          </w:tcPr>
          <w:p>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1、目标明确、方法合理可行、措施具体、针对性强的得4.1~6.0分;</w:t>
            </w:r>
            <w:r>
              <w:rPr>
                <w:rFonts w:hint="eastAsia"/>
                <w:snapToGrid w:val="0"/>
                <w:sz w:val="28"/>
                <w:szCs w:val="28"/>
              </w:rPr>
              <w:br w:type="textWrapping"/>
            </w:r>
            <w:r>
              <w:rPr>
                <w:rFonts w:hint="eastAsia"/>
                <w:snapToGrid w:val="0"/>
                <w:sz w:val="28"/>
                <w:szCs w:val="28"/>
              </w:rPr>
              <w:t>2、目标基本明确、方法较合理、措施不具体、针对性不强的得2.1~4.0分;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29" w:type="dxa"/>
            <w:vMerge w:val="continue"/>
            <w:noWrap w:val="0"/>
            <w:vAlign w:val="center"/>
          </w:tcPr>
          <w:p>
            <w:pPr>
              <w:adjustRightInd w:val="0"/>
              <w:snapToGrid w:val="0"/>
              <w:spacing w:line="440" w:lineRule="exact"/>
              <w:jc w:val="center"/>
              <w:rPr>
                <w:rFonts w:hint="eastAsia"/>
                <w:snapToGrid w:val="0"/>
                <w:sz w:val="28"/>
                <w:szCs w:val="28"/>
              </w:rPr>
            </w:pPr>
          </w:p>
        </w:tc>
        <w:tc>
          <w:tcPr>
            <w:tcW w:w="854" w:type="dxa"/>
            <w:vMerge w:val="continue"/>
            <w:noWrap w:val="0"/>
            <w:vAlign w:val="center"/>
          </w:tcPr>
          <w:p>
            <w:pPr>
              <w:adjustRightInd w:val="0"/>
              <w:snapToGrid w:val="0"/>
              <w:spacing w:line="440" w:lineRule="exact"/>
              <w:jc w:val="center"/>
              <w:rPr>
                <w:rFonts w:hint="eastAsia"/>
                <w:snapToGrid w:val="0"/>
                <w:sz w:val="28"/>
                <w:szCs w:val="28"/>
              </w:rPr>
            </w:pPr>
          </w:p>
        </w:tc>
        <w:tc>
          <w:tcPr>
            <w:tcW w:w="2127"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质量、进度、造价、安全、环保监理措施</w:t>
            </w:r>
          </w:p>
        </w:tc>
        <w:tc>
          <w:tcPr>
            <w:tcW w:w="710"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6</w:t>
            </w:r>
            <w:r>
              <w:rPr>
                <w:rFonts w:hint="eastAsia"/>
                <w:snapToGrid w:val="0"/>
                <w:sz w:val="28"/>
                <w:szCs w:val="28"/>
              </w:rPr>
              <w:t>分</w:t>
            </w:r>
          </w:p>
        </w:tc>
        <w:tc>
          <w:tcPr>
            <w:tcW w:w="4780" w:type="dxa"/>
            <w:noWrap w:val="0"/>
            <w:vAlign w:val="center"/>
          </w:tcPr>
          <w:p>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1、目标明确、方法合理可行、措施具体、针对性强的得4.1~6.0分;</w:t>
            </w:r>
            <w:r>
              <w:rPr>
                <w:rFonts w:hint="eastAsia"/>
                <w:snapToGrid w:val="0"/>
                <w:sz w:val="28"/>
                <w:szCs w:val="28"/>
              </w:rPr>
              <w:br w:type="textWrapping"/>
            </w:r>
            <w:r>
              <w:rPr>
                <w:rFonts w:hint="eastAsia"/>
                <w:snapToGrid w:val="0"/>
                <w:sz w:val="28"/>
                <w:szCs w:val="28"/>
              </w:rPr>
              <w:t>2、目标基本明确、方法较合理、措施不具体、针对性不强的得2.1~4.0分;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29" w:type="dxa"/>
            <w:vMerge w:val="continue"/>
            <w:noWrap w:val="0"/>
            <w:vAlign w:val="center"/>
          </w:tcPr>
          <w:p>
            <w:pPr>
              <w:adjustRightInd w:val="0"/>
              <w:snapToGrid w:val="0"/>
              <w:spacing w:line="440" w:lineRule="exact"/>
              <w:jc w:val="center"/>
              <w:rPr>
                <w:rFonts w:hint="eastAsia"/>
                <w:snapToGrid w:val="0"/>
                <w:sz w:val="28"/>
                <w:szCs w:val="28"/>
              </w:rPr>
            </w:pPr>
          </w:p>
        </w:tc>
        <w:tc>
          <w:tcPr>
            <w:tcW w:w="854" w:type="dxa"/>
            <w:vMerge w:val="continue"/>
            <w:noWrap w:val="0"/>
            <w:vAlign w:val="center"/>
          </w:tcPr>
          <w:p>
            <w:pPr>
              <w:adjustRightInd w:val="0"/>
              <w:snapToGrid w:val="0"/>
              <w:spacing w:line="440" w:lineRule="exact"/>
              <w:jc w:val="center"/>
              <w:rPr>
                <w:rFonts w:hint="eastAsia"/>
                <w:snapToGrid w:val="0"/>
                <w:sz w:val="28"/>
                <w:szCs w:val="28"/>
              </w:rPr>
            </w:pPr>
          </w:p>
        </w:tc>
        <w:tc>
          <w:tcPr>
            <w:tcW w:w="2127"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合同、信息管理方案</w:t>
            </w:r>
          </w:p>
        </w:tc>
        <w:tc>
          <w:tcPr>
            <w:tcW w:w="710" w:type="dxa"/>
            <w:noWrap w:val="0"/>
            <w:vAlign w:val="center"/>
          </w:tcPr>
          <w:p>
            <w:pPr>
              <w:adjustRightInd w:val="0"/>
              <w:snapToGrid w:val="0"/>
              <w:spacing w:line="440" w:lineRule="exact"/>
              <w:jc w:val="center"/>
              <w:rPr>
                <w:rFonts w:hint="eastAsia"/>
                <w:snapToGrid w:val="0"/>
                <w:sz w:val="28"/>
                <w:szCs w:val="28"/>
                <w:lang w:val="en-US" w:eastAsia="zh-CN"/>
              </w:rPr>
            </w:pPr>
            <w:r>
              <w:rPr>
                <w:rFonts w:hint="eastAsia"/>
                <w:snapToGrid w:val="0"/>
                <w:sz w:val="28"/>
                <w:szCs w:val="28"/>
                <w:lang w:val="en-US" w:eastAsia="zh-CN"/>
              </w:rPr>
              <w:t>5分</w:t>
            </w:r>
          </w:p>
        </w:tc>
        <w:tc>
          <w:tcPr>
            <w:tcW w:w="4780" w:type="dxa"/>
            <w:noWrap w:val="0"/>
            <w:vAlign w:val="center"/>
          </w:tcPr>
          <w:p>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1、目标明确、方法合理可行、措施具体、针对性强的得3.6~5.0分;</w:t>
            </w:r>
            <w:r>
              <w:rPr>
                <w:rFonts w:hint="eastAsia"/>
                <w:snapToGrid w:val="0"/>
                <w:sz w:val="28"/>
                <w:szCs w:val="28"/>
              </w:rPr>
              <w:br w:type="textWrapping"/>
            </w:r>
            <w:r>
              <w:rPr>
                <w:rFonts w:hint="eastAsia"/>
                <w:snapToGrid w:val="0"/>
                <w:sz w:val="28"/>
                <w:szCs w:val="28"/>
              </w:rPr>
              <w:t>2、目标基本明确、方法较合理、措施不具体、针对性不强的得2.1~3.5分;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29" w:type="dxa"/>
            <w:vMerge w:val="continue"/>
            <w:noWrap w:val="0"/>
            <w:vAlign w:val="center"/>
          </w:tcPr>
          <w:p>
            <w:pPr>
              <w:adjustRightInd w:val="0"/>
              <w:snapToGrid w:val="0"/>
              <w:spacing w:line="440" w:lineRule="exact"/>
              <w:jc w:val="center"/>
              <w:rPr>
                <w:rFonts w:hint="eastAsia"/>
                <w:snapToGrid w:val="0"/>
                <w:sz w:val="28"/>
                <w:szCs w:val="28"/>
              </w:rPr>
            </w:pPr>
          </w:p>
        </w:tc>
        <w:tc>
          <w:tcPr>
            <w:tcW w:w="854" w:type="dxa"/>
            <w:vMerge w:val="continue"/>
            <w:noWrap w:val="0"/>
            <w:vAlign w:val="center"/>
          </w:tcPr>
          <w:p>
            <w:pPr>
              <w:adjustRightInd w:val="0"/>
              <w:snapToGrid w:val="0"/>
              <w:spacing w:line="440" w:lineRule="exact"/>
              <w:jc w:val="center"/>
              <w:rPr>
                <w:rFonts w:hint="eastAsia"/>
                <w:snapToGrid w:val="0"/>
                <w:sz w:val="28"/>
                <w:szCs w:val="28"/>
              </w:rPr>
            </w:pPr>
          </w:p>
        </w:tc>
        <w:tc>
          <w:tcPr>
            <w:tcW w:w="2127"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监理组织协调内容及措施</w:t>
            </w:r>
          </w:p>
        </w:tc>
        <w:tc>
          <w:tcPr>
            <w:tcW w:w="710" w:type="dxa"/>
            <w:noWrap w:val="0"/>
            <w:vAlign w:val="center"/>
          </w:tcPr>
          <w:p>
            <w:pPr>
              <w:adjustRightInd w:val="0"/>
              <w:snapToGrid w:val="0"/>
              <w:spacing w:line="440" w:lineRule="exact"/>
              <w:jc w:val="center"/>
              <w:rPr>
                <w:rFonts w:hint="default"/>
                <w:snapToGrid w:val="0"/>
                <w:sz w:val="28"/>
                <w:szCs w:val="28"/>
                <w:lang w:val="en-US" w:eastAsia="zh-CN"/>
              </w:rPr>
            </w:pPr>
            <w:r>
              <w:rPr>
                <w:rFonts w:hint="eastAsia"/>
                <w:snapToGrid w:val="0"/>
                <w:sz w:val="28"/>
                <w:szCs w:val="28"/>
                <w:lang w:val="en-US" w:eastAsia="zh-CN"/>
              </w:rPr>
              <w:t>5分</w:t>
            </w:r>
          </w:p>
        </w:tc>
        <w:tc>
          <w:tcPr>
            <w:tcW w:w="4780" w:type="dxa"/>
            <w:noWrap w:val="0"/>
            <w:vAlign w:val="center"/>
          </w:tcPr>
          <w:p>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1、目标明确、方法合理可行、措施具体、针对性强的得3.6~5.0分;</w:t>
            </w:r>
            <w:r>
              <w:rPr>
                <w:rFonts w:hint="eastAsia"/>
                <w:snapToGrid w:val="0"/>
                <w:sz w:val="28"/>
                <w:szCs w:val="28"/>
              </w:rPr>
              <w:br w:type="textWrapping"/>
            </w:r>
            <w:r>
              <w:rPr>
                <w:rFonts w:hint="eastAsia"/>
                <w:snapToGrid w:val="0"/>
                <w:sz w:val="28"/>
                <w:szCs w:val="28"/>
              </w:rPr>
              <w:t>2、目标基本明确、方法较合理、措施不具体、针对性不强的得2.1~3.5分;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29" w:type="dxa"/>
            <w:vMerge w:val="continue"/>
            <w:noWrap w:val="0"/>
            <w:vAlign w:val="center"/>
          </w:tcPr>
          <w:p>
            <w:pPr>
              <w:adjustRightInd w:val="0"/>
              <w:snapToGrid w:val="0"/>
              <w:spacing w:line="440" w:lineRule="exact"/>
              <w:jc w:val="center"/>
              <w:rPr>
                <w:rFonts w:hint="eastAsia"/>
                <w:snapToGrid w:val="0"/>
                <w:sz w:val="28"/>
                <w:szCs w:val="28"/>
              </w:rPr>
            </w:pPr>
          </w:p>
        </w:tc>
        <w:tc>
          <w:tcPr>
            <w:tcW w:w="854" w:type="dxa"/>
            <w:vMerge w:val="continue"/>
            <w:noWrap w:val="0"/>
            <w:vAlign w:val="center"/>
          </w:tcPr>
          <w:p>
            <w:pPr>
              <w:adjustRightInd w:val="0"/>
              <w:snapToGrid w:val="0"/>
              <w:spacing w:line="440" w:lineRule="exact"/>
              <w:jc w:val="center"/>
              <w:rPr>
                <w:rFonts w:hint="eastAsia"/>
                <w:snapToGrid w:val="0"/>
                <w:sz w:val="28"/>
                <w:szCs w:val="28"/>
              </w:rPr>
            </w:pPr>
          </w:p>
        </w:tc>
        <w:tc>
          <w:tcPr>
            <w:tcW w:w="2127"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监理工作重点、难点分析</w:t>
            </w:r>
          </w:p>
        </w:tc>
        <w:tc>
          <w:tcPr>
            <w:tcW w:w="710" w:type="dxa"/>
            <w:noWrap w:val="0"/>
            <w:vAlign w:val="center"/>
          </w:tcPr>
          <w:p>
            <w:pPr>
              <w:adjustRightInd w:val="0"/>
              <w:snapToGrid w:val="0"/>
              <w:spacing w:line="440" w:lineRule="exact"/>
              <w:jc w:val="center"/>
              <w:rPr>
                <w:rFonts w:hint="default"/>
                <w:snapToGrid w:val="0"/>
                <w:sz w:val="28"/>
                <w:szCs w:val="28"/>
                <w:lang w:val="en-US" w:eastAsia="zh-CN"/>
              </w:rPr>
            </w:pPr>
            <w:r>
              <w:rPr>
                <w:rFonts w:hint="eastAsia"/>
                <w:snapToGrid w:val="0"/>
                <w:sz w:val="28"/>
                <w:szCs w:val="28"/>
                <w:lang w:val="en-US" w:eastAsia="zh-CN"/>
              </w:rPr>
              <w:t>5分</w:t>
            </w:r>
          </w:p>
        </w:tc>
        <w:tc>
          <w:tcPr>
            <w:tcW w:w="4780" w:type="dxa"/>
            <w:noWrap w:val="0"/>
            <w:vAlign w:val="center"/>
          </w:tcPr>
          <w:p>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1、目标明确、方法合理可行、措施具体、针对性强的得3.6~5.0分;</w:t>
            </w:r>
            <w:r>
              <w:rPr>
                <w:rFonts w:hint="eastAsia"/>
                <w:snapToGrid w:val="0"/>
                <w:sz w:val="28"/>
                <w:szCs w:val="28"/>
              </w:rPr>
              <w:br w:type="textWrapping"/>
            </w:r>
            <w:r>
              <w:rPr>
                <w:rFonts w:hint="eastAsia"/>
                <w:snapToGrid w:val="0"/>
                <w:sz w:val="28"/>
                <w:szCs w:val="28"/>
              </w:rPr>
              <w:t>2、目标基本明确、方法较合理、措施不具体、针对性不强的得2.1~3.5分;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29" w:type="dxa"/>
            <w:vMerge w:val="continue"/>
            <w:noWrap w:val="0"/>
            <w:vAlign w:val="center"/>
          </w:tcPr>
          <w:p>
            <w:pPr>
              <w:adjustRightInd w:val="0"/>
              <w:snapToGrid w:val="0"/>
              <w:spacing w:line="440" w:lineRule="exact"/>
              <w:jc w:val="center"/>
              <w:rPr>
                <w:rFonts w:hint="eastAsia"/>
                <w:snapToGrid w:val="0"/>
                <w:sz w:val="28"/>
                <w:szCs w:val="28"/>
              </w:rPr>
            </w:pPr>
          </w:p>
        </w:tc>
        <w:tc>
          <w:tcPr>
            <w:tcW w:w="854" w:type="dxa"/>
            <w:vMerge w:val="continue"/>
            <w:noWrap w:val="0"/>
            <w:vAlign w:val="center"/>
          </w:tcPr>
          <w:p>
            <w:pPr>
              <w:adjustRightInd w:val="0"/>
              <w:snapToGrid w:val="0"/>
              <w:spacing w:line="440" w:lineRule="exact"/>
              <w:jc w:val="center"/>
              <w:rPr>
                <w:rFonts w:hint="eastAsia"/>
                <w:snapToGrid w:val="0"/>
                <w:sz w:val="28"/>
                <w:szCs w:val="28"/>
              </w:rPr>
            </w:pPr>
          </w:p>
        </w:tc>
        <w:tc>
          <w:tcPr>
            <w:tcW w:w="2127"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合理化建议</w:t>
            </w:r>
          </w:p>
        </w:tc>
        <w:tc>
          <w:tcPr>
            <w:tcW w:w="710" w:type="dxa"/>
            <w:noWrap w:val="0"/>
            <w:vAlign w:val="center"/>
          </w:tcPr>
          <w:p>
            <w:pPr>
              <w:adjustRightInd w:val="0"/>
              <w:snapToGrid w:val="0"/>
              <w:spacing w:line="440" w:lineRule="exact"/>
              <w:jc w:val="center"/>
              <w:rPr>
                <w:rFonts w:hint="eastAsia"/>
                <w:snapToGrid w:val="0"/>
                <w:sz w:val="28"/>
                <w:szCs w:val="28"/>
                <w:lang w:val="en-US" w:eastAsia="zh-CN"/>
              </w:rPr>
            </w:pPr>
            <w:r>
              <w:rPr>
                <w:rFonts w:hint="eastAsia"/>
                <w:snapToGrid w:val="0"/>
                <w:sz w:val="28"/>
                <w:szCs w:val="28"/>
                <w:lang w:val="en-US" w:eastAsia="zh-CN"/>
              </w:rPr>
              <w:t>5分</w:t>
            </w:r>
          </w:p>
        </w:tc>
        <w:tc>
          <w:tcPr>
            <w:tcW w:w="4780" w:type="dxa"/>
            <w:noWrap w:val="0"/>
            <w:vAlign w:val="center"/>
          </w:tcPr>
          <w:p>
            <w:pPr>
              <w:adjustRightInd w:val="0"/>
              <w:snapToGrid w:val="0"/>
              <w:spacing w:line="440" w:lineRule="exact"/>
              <w:rPr>
                <w:rFonts w:hint="eastAsia"/>
                <w:snapToGrid w:val="0"/>
                <w:sz w:val="28"/>
                <w:szCs w:val="28"/>
              </w:rPr>
            </w:pPr>
            <w:r>
              <w:rPr>
                <w:rFonts w:hint="eastAsia"/>
                <w:snapToGrid w:val="0"/>
                <w:sz w:val="28"/>
                <w:szCs w:val="28"/>
              </w:rPr>
              <w:t>1、目标明确、方法合理可行、措施具体、针对性强的得3.6~5.0分;</w:t>
            </w:r>
            <w:r>
              <w:rPr>
                <w:rFonts w:hint="eastAsia"/>
                <w:snapToGrid w:val="0"/>
                <w:sz w:val="28"/>
                <w:szCs w:val="28"/>
              </w:rPr>
              <w:br w:type="textWrapping"/>
            </w:r>
            <w:r>
              <w:rPr>
                <w:rFonts w:hint="eastAsia"/>
                <w:snapToGrid w:val="0"/>
                <w:sz w:val="28"/>
                <w:szCs w:val="28"/>
              </w:rPr>
              <w:t>2、目标基本明确、方法较合理、措施不具体、针对性不强的得2.1~3.5分;</w:t>
            </w:r>
            <w:r>
              <w:rPr>
                <w:rFonts w:hint="eastAsia"/>
                <w:snapToGrid w:val="0"/>
                <w:sz w:val="28"/>
                <w:szCs w:val="28"/>
              </w:rPr>
              <w:br w:type="textWrapping"/>
            </w:r>
            <w:r>
              <w:rPr>
                <w:rFonts w:hint="eastAsia"/>
                <w:snapToGrid w:val="0"/>
                <w:sz w:val="28"/>
                <w:szCs w:val="28"/>
              </w:rPr>
              <w:t>3、目标一般、方法一般、措施不得当、针对性差的得0.1~2.0分;</w:t>
            </w:r>
            <w:r>
              <w:rPr>
                <w:rFonts w:hint="eastAsia"/>
                <w:snapToGrid w:val="0"/>
                <w:sz w:val="28"/>
                <w:szCs w:val="28"/>
              </w:rPr>
              <w:br w:type="textWrapping"/>
            </w:r>
            <w:r>
              <w:rPr>
                <w:rFonts w:hint="eastAsia"/>
                <w:snapToGrid w:val="0"/>
                <w:sz w:val="28"/>
                <w:szCs w:val="28"/>
              </w:rPr>
              <w:t>4、无此项得0分。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restart"/>
            <w:noWrap w:val="0"/>
            <w:vAlign w:val="center"/>
          </w:tcPr>
          <w:p>
            <w:pPr>
              <w:adjustRightInd w:val="0"/>
              <w:snapToGrid w:val="0"/>
              <w:spacing w:line="440" w:lineRule="exact"/>
              <w:jc w:val="center"/>
              <w:rPr>
                <w:rFonts w:hint="eastAsia" w:eastAsia="宋体"/>
                <w:snapToGrid w:val="0"/>
                <w:sz w:val="28"/>
                <w:szCs w:val="28"/>
                <w:lang w:eastAsia="zh-CN"/>
              </w:rPr>
            </w:pPr>
            <w:r>
              <w:rPr>
                <w:rFonts w:hint="eastAsia"/>
                <w:snapToGrid w:val="0"/>
                <w:sz w:val="28"/>
                <w:szCs w:val="28"/>
                <w:lang w:val="en-US" w:eastAsia="zh-CN"/>
              </w:rPr>
              <w:t>2</w:t>
            </w:r>
          </w:p>
        </w:tc>
        <w:tc>
          <w:tcPr>
            <w:tcW w:w="854" w:type="dxa"/>
            <w:vMerge w:val="restart"/>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监理</w:t>
            </w:r>
          </w:p>
          <w:p>
            <w:pPr>
              <w:adjustRightInd w:val="0"/>
              <w:snapToGrid w:val="0"/>
              <w:spacing w:line="440" w:lineRule="exact"/>
              <w:jc w:val="center"/>
              <w:rPr>
                <w:rFonts w:hint="eastAsia"/>
                <w:snapToGrid w:val="0"/>
                <w:sz w:val="28"/>
                <w:szCs w:val="28"/>
              </w:rPr>
            </w:pPr>
            <w:r>
              <w:rPr>
                <w:rFonts w:hint="eastAsia"/>
                <w:snapToGrid w:val="0"/>
                <w:sz w:val="28"/>
                <w:szCs w:val="28"/>
              </w:rPr>
              <w:t>资信</w:t>
            </w:r>
          </w:p>
        </w:tc>
        <w:tc>
          <w:tcPr>
            <w:tcW w:w="2127"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总监理工程师职称</w:t>
            </w:r>
          </w:p>
        </w:tc>
        <w:tc>
          <w:tcPr>
            <w:tcW w:w="710" w:type="dxa"/>
            <w:noWrap w:val="0"/>
            <w:vAlign w:val="center"/>
          </w:tcPr>
          <w:p>
            <w:pPr>
              <w:adjustRightInd w:val="0"/>
              <w:snapToGrid w:val="0"/>
              <w:spacing w:line="440" w:lineRule="exact"/>
              <w:jc w:val="center"/>
              <w:rPr>
                <w:rFonts w:hint="eastAsia"/>
                <w:snapToGrid w:val="0"/>
                <w:sz w:val="28"/>
                <w:szCs w:val="28"/>
                <w:lang w:val="en-US" w:eastAsia="zh-CN"/>
              </w:rPr>
            </w:pPr>
            <w:r>
              <w:rPr>
                <w:rFonts w:hint="eastAsia"/>
                <w:snapToGrid w:val="0"/>
                <w:sz w:val="28"/>
                <w:szCs w:val="28"/>
                <w:lang w:val="en-US" w:eastAsia="zh-CN"/>
              </w:rPr>
              <w:t>10分</w:t>
            </w:r>
          </w:p>
        </w:tc>
        <w:tc>
          <w:tcPr>
            <w:tcW w:w="4780" w:type="dxa"/>
            <w:noWrap w:val="0"/>
            <w:vAlign w:val="center"/>
          </w:tcPr>
          <w:p>
            <w:pPr>
              <w:adjustRightInd w:val="0"/>
              <w:snapToGrid w:val="0"/>
              <w:spacing w:line="440" w:lineRule="exact"/>
              <w:rPr>
                <w:rFonts w:hint="eastAsia"/>
                <w:snapToGrid w:val="0"/>
                <w:sz w:val="28"/>
                <w:szCs w:val="28"/>
                <w:u w:val="single"/>
              </w:rPr>
            </w:pPr>
            <w:r>
              <w:rPr>
                <w:rFonts w:hint="eastAsia"/>
                <w:snapToGrid w:val="0"/>
                <w:sz w:val="28"/>
                <w:szCs w:val="28"/>
                <w:u w:val="single"/>
              </w:rPr>
              <w:t>拟派项目总监具有工程类中级或以上级职称的加</w:t>
            </w:r>
            <w:r>
              <w:rPr>
                <w:rFonts w:hint="eastAsia"/>
                <w:snapToGrid w:val="0"/>
                <w:sz w:val="28"/>
                <w:szCs w:val="28"/>
                <w:u w:val="single"/>
                <w:lang w:val="en-US" w:eastAsia="zh-CN"/>
              </w:rPr>
              <w:t>5</w:t>
            </w:r>
            <w:r>
              <w:rPr>
                <w:rFonts w:hint="eastAsia"/>
                <w:snapToGrid w:val="0"/>
                <w:sz w:val="28"/>
                <w:szCs w:val="28"/>
                <w:u w:val="single"/>
              </w:rPr>
              <w:t>分，最高加</w:t>
            </w:r>
            <w:r>
              <w:rPr>
                <w:rFonts w:hint="eastAsia"/>
                <w:snapToGrid w:val="0"/>
                <w:sz w:val="28"/>
                <w:szCs w:val="28"/>
                <w:u w:val="single"/>
                <w:lang w:val="en-US" w:eastAsia="zh-CN"/>
              </w:rPr>
              <w:t>5</w:t>
            </w:r>
            <w:r>
              <w:rPr>
                <w:rFonts w:hint="eastAsia"/>
                <w:snapToGrid w:val="0"/>
                <w:sz w:val="28"/>
                <w:szCs w:val="28"/>
                <w:u w:val="single"/>
              </w:rPr>
              <w:t>分。证明材料：提供总监职称证及提供社保单位盖章确认的202</w:t>
            </w:r>
            <w:r>
              <w:rPr>
                <w:rFonts w:hint="eastAsia"/>
                <w:snapToGrid w:val="0"/>
                <w:sz w:val="28"/>
                <w:szCs w:val="28"/>
                <w:u w:val="single"/>
                <w:lang w:val="en-US" w:eastAsia="zh-CN"/>
              </w:rPr>
              <w:t>5</w:t>
            </w:r>
            <w:r>
              <w:rPr>
                <w:rFonts w:hint="eastAsia"/>
                <w:snapToGrid w:val="0"/>
                <w:sz w:val="28"/>
                <w:szCs w:val="28"/>
                <w:u w:val="single"/>
              </w:rPr>
              <w:t>年0</w:t>
            </w:r>
            <w:r>
              <w:rPr>
                <w:rFonts w:hint="eastAsia"/>
                <w:snapToGrid w:val="0"/>
                <w:sz w:val="28"/>
                <w:szCs w:val="28"/>
                <w:u w:val="single"/>
                <w:lang w:val="en-US" w:eastAsia="zh-CN"/>
              </w:rPr>
              <w:t>1</w:t>
            </w:r>
            <w:r>
              <w:rPr>
                <w:rFonts w:hint="eastAsia"/>
                <w:snapToGrid w:val="0"/>
                <w:sz w:val="28"/>
                <w:szCs w:val="28"/>
                <w:u w:val="single"/>
              </w:rPr>
              <w:t>月至投标截止日任意一个月的缴纳社保证明复印件（网上打印社保清单有加盖社保管理单位电子印章或税务机构电子印章的视为缴纳社保证明）加盖单位章（投标中人员可为投标单位或其分公司人员）。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continue"/>
            <w:noWrap w:val="0"/>
            <w:vAlign w:val="center"/>
          </w:tcPr>
          <w:p>
            <w:pPr>
              <w:adjustRightInd w:val="0"/>
              <w:snapToGrid w:val="0"/>
              <w:spacing w:line="440" w:lineRule="exact"/>
              <w:jc w:val="center"/>
              <w:rPr>
                <w:rFonts w:hint="eastAsia"/>
                <w:snapToGrid w:val="0"/>
                <w:sz w:val="28"/>
                <w:szCs w:val="28"/>
              </w:rPr>
            </w:pPr>
          </w:p>
        </w:tc>
        <w:tc>
          <w:tcPr>
            <w:tcW w:w="854" w:type="dxa"/>
            <w:vMerge w:val="continue"/>
            <w:noWrap w:val="0"/>
            <w:vAlign w:val="center"/>
          </w:tcPr>
          <w:p>
            <w:pPr>
              <w:adjustRightInd w:val="0"/>
              <w:snapToGrid w:val="0"/>
              <w:spacing w:line="440" w:lineRule="exact"/>
              <w:jc w:val="center"/>
              <w:rPr>
                <w:rFonts w:hint="eastAsia"/>
                <w:snapToGrid w:val="0"/>
                <w:sz w:val="28"/>
                <w:szCs w:val="28"/>
              </w:rPr>
            </w:pPr>
          </w:p>
        </w:tc>
        <w:tc>
          <w:tcPr>
            <w:tcW w:w="2127"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业绩</w:t>
            </w:r>
          </w:p>
        </w:tc>
        <w:tc>
          <w:tcPr>
            <w:tcW w:w="710"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15</w:t>
            </w:r>
            <w:r>
              <w:rPr>
                <w:rFonts w:hint="eastAsia"/>
                <w:snapToGrid w:val="0"/>
                <w:sz w:val="28"/>
                <w:szCs w:val="28"/>
              </w:rPr>
              <w:t>分</w:t>
            </w:r>
          </w:p>
        </w:tc>
        <w:tc>
          <w:tcPr>
            <w:tcW w:w="4780" w:type="dxa"/>
            <w:noWrap w:val="0"/>
            <w:vAlign w:val="center"/>
          </w:tcPr>
          <w:p>
            <w:pPr>
              <w:adjustRightInd w:val="0"/>
              <w:snapToGrid w:val="0"/>
              <w:spacing w:line="440" w:lineRule="exact"/>
              <w:rPr>
                <w:rFonts w:hint="eastAsia"/>
                <w:snapToGrid w:val="0"/>
                <w:sz w:val="28"/>
                <w:szCs w:val="28"/>
              </w:rPr>
            </w:pPr>
            <w:r>
              <w:rPr>
                <w:rFonts w:hint="eastAsia"/>
                <w:snapToGrid w:val="0"/>
                <w:sz w:val="28"/>
                <w:szCs w:val="28"/>
              </w:rPr>
              <w:t>近三年来企业类似工程业绩</w:t>
            </w:r>
          </w:p>
          <w:p>
            <w:pPr>
              <w:adjustRightInd w:val="0"/>
              <w:snapToGrid w:val="0"/>
              <w:spacing w:line="440" w:lineRule="exact"/>
              <w:rPr>
                <w:rFonts w:hint="eastAsia"/>
                <w:snapToGrid w:val="0"/>
                <w:sz w:val="28"/>
                <w:szCs w:val="28"/>
              </w:rPr>
            </w:pPr>
            <w:r>
              <w:rPr>
                <w:rFonts w:hint="eastAsia"/>
                <w:snapToGrid w:val="0"/>
                <w:sz w:val="28"/>
                <w:szCs w:val="28"/>
                <w:u w:val="single"/>
              </w:rPr>
              <w:fldChar w:fldCharType="begin"/>
            </w:r>
            <w:r>
              <w:rPr>
                <w:rFonts w:hint="eastAsia"/>
                <w:snapToGrid w:val="0"/>
                <w:sz w:val="28"/>
                <w:szCs w:val="28"/>
                <w:u w:val="single"/>
              </w:rPr>
              <w:instrText xml:space="preserve"> AUTOTEXT  input209 \* MERGEFORMAT </w:instrText>
            </w:r>
            <w:r>
              <w:rPr>
                <w:rFonts w:hint="eastAsia"/>
                <w:snapToGrid w:val="0"/>
                <w:sz w:val="28"/>
                <w:szCs w:val="28"/>
                <w:u w:val="single"/>
              </w:rPr>
              <w:fldChar w:fldCharType="separate"/>
            </w:r>
            <w:r>
              <w:rPr>
                <w:rFonts w:hint="eastAsia"/>
                <w:snapToGrid w:val="0"/>
                <w:sz w:val="28"/>
                <w:szCs w:val="28"/>
                <w:u w:val="single"/>
              </w:rPr>
              <w:t>投标人</w:t>
            </w:r>
            <w:r>
              <w:rPr>
                <w:rFonts w:hint="eastAsia"/>
                <w:snapToGrid w:val="0"/>
                <w:sz w:val="28"/>
                <w:szCs w:val="28"/>
                <w:u w:val="single"/>
                <w:lang w:val="en-US"/>
              </w:rPr>
              <w:t>2022</w:t>
            </w:r>
            <w:r>
              <w:rPr>
                <w:rFonts w:hint="eastAsia"/>
                <w:snapToGrid w:val="0"/>
                <w:sz w:val="28"/>
                <w:szCs w:val="28"/>
                <w:u w:val="single"/>
              </w:rPr>
              <w:t>年至今（含已完成及在建）具有一个类似业绩的得基本分</w:t>
            </w:r>
            <w:r>
              <w:rPr>
                <w:rFonts w:hint="eastAsia"/>
                <w:snapToGrid w:val="0"/>
                <w:sz w:val="28"/>
                <w:szCs w:val="28"/>
                <w:u w:val="single"/>
                <w:lang w:val="en-US" w:eastAsia="zh-CN"/>
              </w:rPr>
              <w:t>5</w:t>
            </w:r>
            <w:r>
              <w:rPr>
                <w:rFonts w:hint="eastAsia"/>
                <w:snapToGrid w:val="0"/>
                <w:sz w:val="28"/>
                <w:szCs w:val="28"/>
                <w:u w:val="single"/>
              </w:rPr>
              <w:t>分，在此基础上每增加1个类似业绩加</w:t>
            </w:r>
            <w:r>
              <w:rPr>
                <w:rFonts w:hint="eastAsia"/>
                <w:snapToGrid w:val="0"/>
                <w:sz w:val="28"/>
                <w:szCs w:val="28"/>
                <w:u w:val="single"/>
                <w:lang w:val="en-US" w:eastAsia="zh-CN"/>
              </w:rPr>
              <w:t>5</w:t>
            </w:r>
            <w:r>
              <w:rPr>
                <w:rFonts w:hint="eastAsia"/>
                <w:snapToGrid w:val="0"/>
                <w:sz w:val="28"/>
                <w:szCs w:val="28"/>
                <w:u w:val="single"/>
              </w:rPr>
              <w:t>分，本项满分</w:t>
            </w:r>
            <w:r>
              <w:rPr>
                <w:rFonts w:hint="eastAsia"/>
                <w:snapToGrid w:val="0"/>
                <w:sz w:val="28"/>
                <w:szCs w:val="28"/>
                <w:u w:val="single"/>
                <w:lang w:val="en-US" w:eastAsia="zh-CN"/>
              </w:rPr>
              <w:t>15</w:t>
            </w:r>
            <w:r>
              <w:rPr>
                <w:rFonts w:hint="eastAsia"/>
                <w:snapToGrid w:val="0"/>
                <w:sz w:val="28"/>
                <w:szCs w:val="28"/>
                <w:u w:val="single"/>
              </w:rPr>
              <w:t>分。</w:t>
            </w:r>
          </w:p>
          <w:p>
            <w:pPr>
              <w:adjustRightInd w:val="0"/>
              <w:snapToGrid w:val="0"/>
              <w:spacing w:line="440" w:lineRule="exact"/>
              <w:rPr>
                <w:rFonts w:hint="eastAsia"/>
                <w:snapToGrid w:val="0"/>
                <w:sz w:val="28"/>
                <w:szCs w:val="28"/>
              </w:rPr>
            </w:pPr>
            <w:r>
              <w:rPr>
                <w:rFonts w:hint="eastAsia"/>
                <w:snapToGrid w:val="0"/>
                <w:sz w:val="28"/>
                <w:szCs w:val="28"/>
                <w:u w:val="single"/>
              </w:rPr>
              <w:t>注：类似业绩要求、证明材料要求详见资格要求。</w:t>
            </w:r>
            <w:r>
              <w:rPr>
                <w:rFonts w:hint="eastAsia"/>
                <w:snapToGrid w:val="0"/>
                <w:sz w:val="28"/>
                <w:szCs w:val="2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929" w:type="dxa"/>
            <w:vMerge w:val="continue"/>
            <w:noWrap w:val="0"/>
            <w:vAlign w:val="center"/>
          </w:tcPr>
          <w:p>
            <w:pPr>
              <w:adjustRightInd w:val="0"/>
              <w:snapToGrid w:val="0"/>
              <w:spacing w:line="440" w:lineRule="exact"/>
              <w:jc w:val="center"/>
              <w:rPr>
                <w:rFonts w:hint="eastAsia"/>
                <w:snapToGrid w:val="0"/>
                <w:sz w:val="28"/>
                <w:szCs w:val="28"/>
              </w:rPr>
            </w:pPr>
          </w:p>
        </w:tc>
        <w:tc>
          <w:tcPr>
            <w:tcW w:w="854" w:type="dxa"/>
            <w:vMerge w:val="continue"/>
            <w:noWrap w:val="0"/>
            <w:vAlign w:val="center"/>
          </w:tcPr>
          <w:p>
            <w:pPr>
              <w:adjustRightInd w:val="0"/>
              <w:snapToGrid w:val="0"/>
              <w:spacing w:line="440" w:lineRule="exact"/>
              <w:jc w:val="center"/>
              <w:rPr>
                <w:rFonts w:hint="eastAsia"/>
                <w:snapToGrid w:val="0"/>
                <w:sz w:val="28"/>
                <w:szCs w:val="28"/>
              </w:rPr>
            </w:pPr>
          </w:p>
        </w:tc>
        <w:tc>
          <w:tcPr>
            <w:tcW w:w="2127"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信誉及服务质量</w:t>
            </w:r>
          </w:p>
        </w:tc>
        <w:tc>
          <w:tcPr>
            <w:tcW w:w="710" w:type="dxa"/>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lang w:val="en-US" w:eastAsia="zh-CN"/>
              </w:rPr>
              <w:t>15</w:t>
            </w:r>
            <w:r>
              <w:rPr>
                <w:rFonts w:hint="eastAsia"/>
                <w:snapToGrid w:val="0"/>
                <w:sz w:val="28"/>
                <w:szCs w:val="28"/>
              </w:rPr>
              <w:t>分</w:t>
            </w:r>
          </w:p>
        </w:tc>
        <w:tc>
          <w:tcPr>
            <w:tcW w:w="4780" w:type="dxa"/>
            <w:noWrap w:val="0"/>
            <w:vAlign w:val="center"/>
          </w:tcPr>
          <w:p>
            <w:pPr>
              <w:adjustRightInd w:val="0"/>
              <w:snapToGrid w:val="0"/>
              <w:spacing w:line="440" w:lineRule="exact"/>
              <w:rPr>
                <w:rFonts w:hint="eastAsia" w:eastAsia="宋体"/>
                <w:snapToGrid w:val="0"/>
                <w:sz w:val="28"/>
                <w:szCs w:val="28"/>
                <w:lang w:val="en-US" w:eastAsia="zh-CN"/>
              </w:rPr>
            </w:pPr>
            <w:r>
              <w:rPr>
                <w:rFonts w:hint="eastAsia"/>
                <w:snapToGrid w:val="0"/>
                <w:sz w:val="28"/>
                <w:szCs w:val="28"/>
              </w:rPr>
              <w:t>近三年来企业信誉及服务质量</w:t>
            </w:r>
            <w:r>
              <w:rPr>
                <w:rFonts w:hint="eastAsia"/>
                <w:snapToGrid w:val="0"/>
                <w:sz w:val="28"/>
                <w:szCs w:val="28"/>
                <w:lang w:val="en-US" w:eastAsia="zh-CN"/>
              </w:rPr>
              <w:t>:</w:t>
            </w:r>
          </w:p>
          <w:p>
            <w:pPr>
              <w:adjustRightInd w:val="0"/>
              <w:snapToGrid w:val="0"/>
              <w:spacing w:line="440" w:lineRule="exact"/>
              <w:rPr>
                <w:rFonts w:hint="eastAsia"/>
                <w:snapToGrid w:val="0"/>
                <w:sz w:val="28"/>
                <w:szCs w:val="28"/>
              </w:rPr>
            </w:pPr>
            <w:r>
              <w:rPr>
                <w:rFonts w:hint="eastAsia"/>
                <w:snapToGrid w:val="0"/>
                <w:sz w:val="28"/>
                <w:szCs w:val="28"/>
                <w:u w:val="single"/>
                <w:lang w:val="en-US" w:eastAsia="zh-CN"/>
              </w:rPr>
              <w:t>2022年1月1日以来</w:t>
            </w:r>
            <w:r>
              <w:rPr>
                <w:rFonts w:hint="eastAsia"/>
                <w:snapToGrid w:val="0"/>
                <w:sz w:val="28"/>
                <w:szCs w:val="28"/>
                <w:u w:val="single"/>
              </w:rPr>
              <w:t>具有用户类似满意、优秀等正面评价</w:t>
            </w:r>
            <w:r>
              <w:rPr>
                <w:rFonts w:hint="eastAsia"/>
                <w:snapToGrid w:val="0"/>
                <w:sz w:val="28"/>
                <w:szCs w:val="28"/>
                <w:u w:val="single"/>
                <w:lang w:eastAsia="zh-CN"/>
              </w:rPr>
              <w:t>的监理业绩</w:t>
            </w:r>
            <w:r>
              <w:rPr>
                <w:rFonts w:hint="eastAsia"/>
                <w:snapToGrid w:val="0"/>
                <w:sz w:val="28"/>
                <w:szCs w:val="28"/>
                <w:u w:val="single"/>
              </w:rPr>
              <w:t>每提供1份得</w:t>
            </w:r>
            <w:r>
              <w:rPr>
                <w:rFonts w:hint="eastAsia"/>
                <w:snapToGrid w:val="0"/>
                <w:sz w:val="28"/>
                <w:szCs w:val="28"/>
                <w:u w:val="single"/>
                <w:lang w:val="en-US" w:eastAsia="zh-CN"/>
              </w:rPr>
              <w:t>5</w:t>
            </w:r>
            <w:r>
              <w:rPr>
                <w:rFonts w:hint="eastAsia"/>
                <w:snapToGrid w:val="0"/>
                <w:sz w:val="28"/>
                <w:szCs w:val="28"/>
                <w:u w:val="single"/>
              </w:rPr>
              <w:t>分，满分为</w:t>
            </w:r>
            <w:r>
              <w:rPr>
                <w:rFonts w:hint="eastAsia"/>
                <w:snapToGrid w:val="0"/>
                <w:sz w:val="28"/>
                <w:szCs w:val="28"/>
                <w:u w:val="single"/>
                <w:lang w:val="en-US" w:eastAsia="zh-CN"/>
              </w:rPr>
              <w:t>1</w:t>
            </w:r>
            <w:r>
              <w:rPr>
                <w:rFonts w:hint="eastAsia"/>
                <w:snapToGrid w:val="0"/>
                <w:sz w:val="28"/>
                <w:szCs w:val="28"/>
                <w:u w:val="single"/>
              </w:rPr>
              <w:t>5</w:t>
            </w:r>
            <w:bookmarkStart w:id="1" w:name="_GoBack"/>
            <w:bookmarkEnd w:id="1"/>
            <w:r>
              <w:rPr>
                <w:rFonts w:hint="eastAsia"/>
                <w:snapToGrid w:val="0"/>
                <w:sz w:val="28"/>
                <w:szCs w:val="28"/>
                <w:u w:val="single"/>
              </w:rPr>
              <w:t>分</w:t>
            </w:r>
            <w:r>
              <w:rPr>
                <w:rFonts w:hint="eastAsia"/>
                <w:snapToGrid w:val="0"/>
                <w:sz w:val="28"/>
                <w:szCs w:val="28"/>
                <w:u w:val="single"/>
                <w:lang w:eastAsia="zh-CN"/>
              </w:rPr>
              <w:t>。</w:t>
            </w:r>
            <w:r>
              <w:rPr>
                <w:rFonts w:hint="eastAsia"/>
                <w:snapToGrid w:val="0"/>
                <w:sz w:val="28"/>
                <w:szCs w:val="28"/>
                <w:u w:val="single"/>
              </w:rPr>
              <w:t>提供具有用户单位盖章的相关评价证明材料）</w:t>
            </w:r>
            <w:r>
              <w:rPr>
                <w:rFonts w:hint="eastAsia"/>
                <w:snapToGrid w:val="0"/>
                <w:sz w:val="28"/>
                <w:szCs w:val="28"/>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restart"/>
            <w:noWrap w:val="0"/>
            <w:vAlign w:val="center"/>
          </w:tcPr>
          <w:p>
            <w:pPr>
              <w:adjustRightInd w:val="0"/>
              <w:snapToGrid w:val="0"/>
              <w:spacing w:line="440" w:lineRule="exact"/>
              <w:jc w:val="center"/>
              <w:rPr>
                <w:rFonts w:hint="eastAsia" w:eastAsia="宋体"/>
                <w:snapToGrid w:val="0"/>
                <w:sz w:val="28"/>
                <w:szCs w:val="28"/>
                <w:lang w:eastAsia="zh-CN"/>
              </w:rPr>
            </w:pPr>
            <w:r>
              <w:rPr>
                <w:rFonts w:hint="eastAsia"/>
                <w:snapToGrid w:val="0"/>
                <w:sz w:val="28"/>
                <w:szCs w:val="28"/>
                <w:lang w:val="en-US" w:eastAsia="zh-CN"/>
              </w:rPr>
              <w:t>3</w:t>
            </w:r>
          </w:p>
        </w:tc>
        <w:tc>
          <w:tcPr>
            <w:tcW w:w="854" w:type="dxa"/>
            <w:vMerge w:val="restart"/>
            <w:noWrap w:val="0"/>
            <w:vAlign w:val="center"/>
          </w:tcPr>
          <w:p>
            <w:pPr>
              <w:adjustRightInd w:val="0"/>
              <w:snapToGrid w:val="0"/>
              <w:spacing w:line="440" w:lineRule="exact"/>
              <w:jc w:val="center"/>
              <w:rPr>
                <w:rFonts w:hint="eastAsia"/>
                <w:snapToGrid w:val="0"/>
                <w:sz w:val="28"/>
                <w:szCs w:val="28"/>
              </w:rPr>
            </w:pPr>
            <w:r>
              <w:rPr>
                <w:rFonts w:hint="eastAsia"/>
                <w:snapToGrid w:val="0"/>
                <w:sz w:val="28"/>
                <w:szCs w:val="28"/>
              </w:rPr>
              <w:t>投标</w:t>
            </w:r>
          </w:p>
          <w:p>
            <w:pPr>
              <w:adjustRightInd w:val="0"/>
              <w:snapToGrid w:val="0"/>
              <w:spacing w:line="440" w:lineRule="exact"/>
              <w:jc w:val="center"/>
              <w:rPr>
                <w:rFonts w:hint="eastAsia"/>
                <w:snapToGrid w:val="0"/>
                <w:sz w:val="28"/>
                <w:szCs w:val="28"/>
              </w:rPr>
            </w:pPr>
            <w:r>
              <w:rPr>
                <w:rFonts w:hint="eastAsia"/>
                <w:snapToGrid w:val="0"/>
                <w:sz w:val="28"/>
                <w:szCs w:val="28"/>
              </w:rPr>
              <w:t>报价</w:t>
            </w:r>
          </w:p>
          <w:p>
            <w:pPr>
              <w:adjustRightInd w:val="0"/>
              <w:snapToGrid w:val="0"/>
              <w:spacing w:line="440" w:lineRule="exact"/>
              <w:jc w:val="center"/>
              <w:rPr>
                <w:rFonts w:hint="eastAsia"/>
                <w:snapToGrid w:val="0"/>
                <w:sz w:val="28"/>
                <w:szCs w:val="28"/>
              </w:rPr>
            </w:pPr>
            <w:r>
              <w:rPr>
                <w:rFonts w:hint="eastAsia"/>
                <w:snapToGrid w:val="0"/>
                <w:sz w:val="28"/>
                <w:szCs w:val="28"/>
              </w:rPr>
              <w:t>(</w:t>
            </w:r>
            <w:r>
              <w:rPr>
                <w:rFonts w:hint="eastAsia"/>
                <w:snapToGrid w:val="0"/>
                <w:sz w:val="28"/>
                <w:szCs w:val="28"/>
                <w:lang w:val="en-US" w:eastAsia="zh-CN"/>
              </w:rPr>
              <w:t>10</w:t>
            </w:r>
            <w:r>
              <w:rPr>
                <w:rFonts w:hint="eastAsia"/>
                <w:snapToGrid w:val="0"/>
                <w:sz w:val="28"/>
                <w:szCs w:val="28"/>
              </w:rPr>
              <w:t>分)</w:t>
            </w:r>
          </w:p>
        </w:tc>
        <w:tc>
          <w:tcPr>
            <w:tcW w:w="7617" w:type="dxa"/>
            <w:gridSpan w:val="3"/>
            <w:noWrap w:val="0"/>
            <w:vAlign w:val="center"/>
          </w:tcPr>
          <w:p>
            <w:pPr>
              <w:jc w:val="left"/>
              <w:rPr>
                <w:rFonts w:hint="default" w:ascii="宋体" w:hAnsi="宋体"/>
                <w:color w:val="000000"/>
                <w:sz w:val="28"/>
                <w:szCs w:val="24"/>
                <w:lang w:val="en-US" w:eastAsia="zh-CN"/>
              </w:rPr>
            </w:pPr>
            <w:r>
              <w:rPr>
                <w:rFonts w:hint="eastAsia" w:ascii="宋体" w:hAnsi="宋体"/>
                <w:color w:val="000000"/>
                <w:sz w:val="28"/>
                <w:szCs w:val="24"/>
                <w:lang w:val="en-US" w:eastAsia="zh-CN"/>
              </w:rPr>
              <w:t>评标基准价计算：</w:t>
            </w:r>
          </w:p>
          <w:p>
            <w:pPr>
              <w:jc w:val="left"/>
              <w:rPr>
                <w:rFonts w:hint="eastAsia" w:ascii="宋体" w:hAnsi="宋体"/>
                <w:color w:val="000000"/>
                <w:sz w:val="28"/>
                <w:szCs w:val="24"/>
              </w:rPr>
            </w:pPr>
            <w:r>
              <w:rPr>
                <w:rFonts w:hint="eastAsia" w:ascii="宋体" w:hAnsi="宋体"/>
                <w:color w:val="000000"/>
                <w:sz w:val="28"/>
                <w:szCs w:val="24"/>
              </w:rPr>
              <w:t>1、评标基准价的计算：将符合要求的各投标价Di进行一次平均，作为评标基准价D。</w:t>
            </w:r>
          </w:p>
          <w:p>
            <w:pPr>
              <w:jc w:val="left"/>
              <w:rPr>
                <w:rFonts w:hint="eastAsia" w:ascii="宋体" w:hAnsi="宋体"/>
                <w:color w:val="000000"/>
                <w:sz w:val="28"/>
                <w:szCs w:val="24"/>
              </w:rPr>
            </w:pPr>
            <w:r>
              <w:rPr>
                <w:rFonts w:hint="eastAsia" w:ascii="宋体" w:hAnsi="宋体"/>
                <w:color w:val="000000"/>
                <w:sz w:val="28"/>
                <w:szCs w:val="24"/>
              </w:rPr>
              <w:t>2、评标价等于评标基准价的得</w:t>
            </w:r>
            <w:r>
              <w:rPr>
                <w:rFonts w:hint="eastAsia" w:ascii="宋体" w:hAnsi="宋体"/>
                <w:color w:val="000000"/>
                <w:sz w:val="28"/>
                <w:szCs w:val="24"/>
                <w:lang w:val="en-US" w:eastAsia="zh-CN"/>
              </w:rPr>
              <w:t>10</w:t>
            </w:r>
            <w:r>
              <w:rPr>
                <w:rFonts w:hint="eastAsia" w:ascii="宋体" w:hAnsi="宋体"/>
                <w:color w:val="000000"/>
                <w:sz w:val="28"/>
                <w:szCs w:val="24"/>
              </w:rPr>
              <w:t>分计算，评标价高于或低于评标基准价一个百分点的按以下公式计算得分：</w:t>
            </w:r>
          </w:p>
          <w:p>
            <w:pPr>
              <w:jc w:val="left"/>
              <w:rPr>
                <w:rFonts w:hint="eastAsia" w:ascii="宋体" w:hAnsi="宋体"/>
                <w:color w:val="000000"/>
                <w:sz w:val="28"/>
                <w:szCs w:val="24"/>
              </w:rPr>
            </w:pPr>
            <w:r>
              <w:rPr>
                <w:rFonts w:hint="eastAsia" w:ascii="宋体" w:hAnsi="宋体"/>
                <w:color w:val="000000"/>
                <w:sz w:val="28"/>
                <w:szCs w:val="24"/>
              </w:rPr>
              <w:t>（1）投标人的投标价Di等于评标基准价D时得</w:t>
            </w:r>
            <w:r>
              <w:rPr>
                <w:rFonts w:hint="eastAsia" w:ascii="宋体" w:hAnsi="宋体"/>
                <w:color w:val="000000"/>
                <w:sz w:val="28"/>
                <w:szCs w:val="24"/>
                <w:lang w:val="en-US" w:eastAsia="zh-CN"/>
              </w:rPr>
              <w:t>1</w:t>
            </w:r>
            <w:r>
              <w:rPr>
                <w:rFonts w:hint="eastAsia" w:ascii="宋体" w:hAnsi="宋体"/>
                <w:color w:val="000000"/>
                <w:sz w:val="28"/>
                <w:szCs w:val="24"/>
              </w:rPr>
              <w:t>0分，每高于D—个百分点扣0.2分，每低于D一个百分点扣0.1分，中间值按比例内插（精确到小数点后两位数，第三位四舍五入）。</w:t>
            </w:r>
          </w:p>
          <w:p>
            <w:pPr>
              <w:jc w:val="left"/>
              <w:rPr>
                <w:rFonts w:hint="eastAsia" w:ascii="宋体" w:hAnsi="宋体"/>
                <w:color w:val="000000"/>
                <w:sz w:val="28"/>
                <w:szCs w:val="24"/>
              </w:rPr>
            </w:pPr>
            <w:r>
              <w:rPr>
                <w:rFonts w:hint="eastAsia" w:ascii="宋体" w:hAnsi="宋体"/>
                <w:color w:val="000000"/>
                <w:sz w:val="28"/>
                <w:szCs w:val="24"/>
              </w:rPr>
              <w:t>（2）用公式表示如下：</w:t>
            </w:r>
          </w:p>
          <w:p>
            <w:pPr>
              <w:jc w:val="left"/>
              <w:rPr>
                <w:rFonts w:hint="eastAsia" w:ascii="宋体" w:hAnsi="宋体"/>
                <w:color w:val="000000"/>
                <w:sz w:val="28"/>
                <w:szCs w:val="24"/>
              </w:rPr>
            </w:pPr>
            <w:r>
              <w:rPr>
                <w:rFonts w:hint="eastAsia" w:ascii="宋体" w:hAnsi="宋体"/>
                <w:color w:val="000000"/>
                <w:sz w:val="28"/>
                <w:szCs w:val="24"/>
              </w:rPr>
              <w:t>Fi=F-|Di-D|/D×100×E</w:t>
            </w:r>
          </w:p>
          <w:p>
            <w:pPr>
              <w:jc w:val="left"/>
              <w:rPr>
                <w:rFonts w:hint="eastAsia" w:ascii="宋体" w:hAnsi="宋体"/>
                <w:color w:val="000000"/>
                <w:sz w:val="28"/>
                <w:szCs w:val="24"/>
              </w:rPr>
            </w:pPr>
            <w:r>
              <w:rPr>
                <w:rFonts w:hint="eastAsia" w:ascii="宋体" w:hAnsi="宋体"/>
                <w:color w:val="000000"/>
                <w:sz w:val="28"/>
                <w:szCs w:val="24"/>
              </w:rPr>
              <w:t>式中：</w:t>
            </w:r>
          </w:p>
          <w:p>
            <w:pPr>
              <w:jc w:val="left"/>
              <w:rPr>
                <w:rFonts w:hint="eastAsia" w:ascii="宋体" w:hAnsi="宋体"/>
                <w:color w:val="000000"/>
                <w:sz w:val="28"/>
                <w:szCs w:val="24"/>
              </w:rPr>
            </w:pPr>
            <w:r>
              <w:rPr>
                <w:rFonts w:hint="eastAsia" w:ascii="宋体" w:hAnsi="宋体"/>
                <w:color w:val="000000"/>
                <w:sz w:val="28"/>
                <w:szCs w:val="24"/>
              </w:rPr>
              <w:t>Fi—评标价得分；</w:t>
            </w:r>
          </w:p>
          <w:p>
            <w:pPr>
              <w:jc w:val="left"/>
              <w:rPr>
                <w:rFonts w:hint="eastAsia" w:ascii="宋体" w:hAnsi="宋体"/>
                <w:color w:val="000000"/>
                <w:sz w:val="28"/>
                <w:szCs w:val="24"/>
              </w:rPr>
            </w:pPr>
            <w:r>
              <w:rPr>
                <w:rFonts w:hint="eastAsia" w:ascii="宋体" w:hAnsi="宋体"/>
                <w:color w:val="000000"/>
                <w:sz w:val="28"/>
                <w:szCs w:val="24"/>
              </w:rPr>
              <w:t>F—评标价满分</w:t>
            </w:r>
            <w:r>
              <w:rPr>
                <w:rFonts w:hint="eastAsia" w:ascii="宋体" w:hAnsi="宋体"/>
                <w:color w:val="000000"/>
                <w:sz w:val="28"/>
                <w:szCs w:val="24"/>
                <w:lang w:val="en-US" w:eastAsia="zh-CN"/>
              </w:rPr>
              <w:t>1</w:t>
            </w:r>
            <w:r>
              <w:rPr>
                <w:rFonts w:hint="eastAsia" w:ascii="宋体" w:hAnsi="宋体"/>
                <w:color w:val="000000"/>
                <w:sz w:val="28"/>
                <w:szCs w:val="24"/>
              </w:rPr>
              <w:t>0分；</w:t>
            </w:r>
          </w:p>
          <w:p>
            <w:pPr>
              <w:jc w:val="left"/>
              <w:rPr>
                <w:rFonts w:hint="eastAsia" w:ascii="宋体" w:hAnsi="宋体"/>
                <w:color w:val="000000"/>
                <w:sz w:val="28"/>
                <w:szCs w:val="24"/>
              </w:rPr>
            </w:pPr>
            <w:r>
              <w:rPr>
                <w:rFonts w:hint="eastAsia" w:ascii="宋体" w:hAnsi="宋体"/>
                <w:color w:val="000000"/>
                <w:sz w:val="28"/>
                <w:szCs w:val="24"/>
              </w:rPr>
              <w:t>Di—投标人的投标价；</w:t>
            </w:r>
          </w:p>
          <w:p>
            <w:pPr>
              <w:jc w:val="left"/>
              <w:rPr>
                <w:rFonts w:hint="eastAsia" w:ascii="宋体" w:hAnsi="宋体"/>
                <w:color w:val="000000"/>
                <w:sz w:val="28"/>
                <w:szCs w:val="24"/>
              </w:rPr>
            </w:pPr>
            <w:r>
              <w:rPr>
                <w:rFonts w:hint="eastAsia" w:ascii="宋体" w:hAnsi="宋体"/>
                <w:color w:val="000000"/>
                <w:sz w:val="28"/>
                <w:szCs w:val="24"/>
              </w:rPr>
              <w:t>D—评标基准价</w:t>
            </w:r>
            <w:r>
              <w:rPr>
                <w:rFonts w:hint="eastAsia" w:ascii="宋体" w:hAnsi="宋体"/>
                <w:color w:val="000000"/>
                <w:sz w:val="28"/>
                <w:szCs w:val="24"/>
              </w:rPr>
              <w:tab/>
            </w:r>
          </w:p>
          <w:p>
            <w:pPr>
              <w:rPr>
                <w:rFonts w:hint="eastAsia" w:ascii="宋体" w:hAnsi="宋体"/>
                <w:color w:val="000000"/>
                <w:sz w:val="28"/>
                <w:szCs w:val="24"/>
              </w:rPr>
            </w:pPr>
            <w:r>
              <w:rPr>
                <w:rFonts w:hint="eastAsia" w:ascii="宋体" w:hAnsi="宋体"/>
                <w:color w:val="000000"/>
                <w:sz w:val="28"/>
                <w:szCs w:val="24"/>
              </w:rPr>
              <w:t>若Di ＞ D，则E=0.2；若Di＜ D，则E=0.1。</w:t>
            </w:r>
          </w:p>
          <w:p>
            <w:pPr>
              <w:rPr>
                <w:rFonts w:hint="default" w:ascii="Times New Roman" w:hAnsi="Times New Roman" w:eastAsia="宋体" w:cs="Times New Roman"/>
                <w:kern w:val="2"/>
                <w:sz w:val="28"/>
                <w:szCs w:val="28"/>
                <w:lang w:val="en-US" w:eastAsia="zh-CN" w:bidi="ar-SA"/>
              </w:rPr>
            </w:pPr>
            <w:r>
              <w:rPr>
                <w:rFonts w:hint="eastAsia"/>
                <w:sz w:val="28"/>
                <w:szCs w:val="28"/>
              </w:rPr>
              <w:t>注：当评审小组发现参选单位报价遇到异常低分，需要参选单位在40分钟内给予成本核算说明并加盖单位公章，如不提供按无效投标处理。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continue"/>
            <w:tcBorders/>
            <w:noWrap w:val="0"/>
            <w:vAlign w:val="center"/>
          </w:tcPr>
          <w:p>
            <w:pPr>
              <w:adjustRightInd w:val="0"/>
              <w:snapToGrid w:val="0"/>
              <w:spacing w:line="440" w:lineRule="exact"/>
              <w:jc w:val="center"/>
              <w:rPr>
                <w:rFonts w:hint="eastAsia"/>
                <w:snapToGrid w:val="0"/>
                <w:sz w:val="28"/>
                <w:szCs w:val="28"/>
                <w:lang w:val="en-US" w:eastAsia="zh-CN"/>
              </w:rPr>
            </w:pPr>
          </w:p>
        </w:tc>
        <w:tc>
          <w:tcPr>
            <w:tcW w:w="854" w:type="dxa"/>
            <w:vMerge w:val="continue"/>
            <w:tcBorders/>
            <w:noWrap w:val="0"/>
            <w:vAlign w:val="center"/>
          </w:tcPr>
          <w:p>
            <w:pPr>
              <w:adjustRightInd w:val="0"/>
              <w:snapToGrid w:val="0"/>
              <w:spacing w:line="440" w:lineRule="exact"/>
              <w:jc w:val="center"/>
              <w:rPr>
                <w:rFonts w:hint="eastAsia"/>
                <w:snapToGrid w:val="0"/>
                <w:sz w:val="28"/>
                <w:szCs w:val="28"/>
              </w:rPr>
            </w:pPr>
          </w:p>
        </w:tc>
        <w:tc>
          <w:tcPr>
            <w:tcW w:w="7617" w:type="dxa"/>
            <w:gridSpan w:val="3"/>
            <w:noWrap w:val="0"/>
            <w:vAlign w:val="center"/>
          </w:tcPr>
          <w:p>
            <w:pPr>
              <w:rPr>
                <w:rFonts w:hint="default" w:ascii="Times New Roman" w:hAnsi="Times New Roman" w:eastAsia="宋体" w:cs="Times New Roman"/>
                <w:kern w:val="2"/>
                <w:sz w:val="28"/>
                <w:szCs w:val="28"/>
                <w:lang w:val="en-US" w:eastAsia="zh-CN" w:bidi="ar-SA"/>
              </w:rPr>
            </w:pPr>
            <w:r>
              <w:rPr>
                <w:rFonts w:hint="eastAsia" w:ascii="宋体" w:hAnsi="宋体"/>
                <w:color w:val="000000"/>
                <w:sz w:val="28"/>
                <w:szCs w:val="24"/>
              </w:rPr>
              <w:t xml:space="preserve">评标基准价计算方法：一次平均：所有投标人的有效标价算术平均值即为基准价（如果参与评标价平均值计算的有效投标人超过 </w:t>
            </w:r>
            <w:r>
              <w:rPr>
                <w:rFonts w:hint="eastAsia" w:ascii="宋体" w:hAnsi="宋体"/>
                <w:color w:val="000000"/>
                <w:sz w:val="28"/>
                <w:szCs w:val="24"/>
                <w:lang w:val="en-US" w:eastAsia="zh-CN"/>
              </w:rPr>
              <w:t>5</w:t>
            </w:r>
            <w:r>
              <w:rPr>
                <w:rFonts w:hint="eastAsia" w:ascii="宋体" w:hAnsi="宋体"/>
                <w:color w:val="000000"/>
                <w:sz w:val="28"/>
                <w:szCs w:val="24"/>
              </w:rPr>
              <w:t xml:space="preserve"> 家(不含)时，去掉 1 个最高值和 1 个最低值后取平均），四舍五入后保留小数点后两位有效数字。</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continue"/>
            <w:tcBorders/>
          </w:tcPr>
          <w:p>
            <w:pPr>
              <w:adjustRightInd w:val="0"/>
              <w:snapToGrid w:val="0"/>
              <w:spacing w:line="440" w:lineRule="exact"/>
              <w:jc w:val="center"/>
              <w:rPr>
                <w:rFonts w:hint="eastAsia"/>
                <w:snapToGrid w:val="0"/>
                <w:sz w:val="28"/>
                <w:szCs w:val="28"/>
                <w:lang w:val="en-US" w:eastAsia="zh-CN"/>
              </w:rPr>
            </w:pPr>
          </w:p>
        </w:tc>
        <w:tc>
          <w:tcPr>
            <w:tcW w:w="854" w:type="dxa"/>
            <w:vMerge w:val="continue"/>
            <w:tcBorders/>
          </w:tcPr>
          <w:p>
            <w:pPr>
              <w:adjustRightInd w:val="0"/>
              <w:snapToGrid w:val="0"/>
              <w:spacing w:line="440" w:lineRule="exact"/>
              <w:jc w:val="center"/>
              <w:rPr>
                <w:rFonts w:hint="eastAsia"/>
                <w:snapToGrid w:val="0"/>
                <w:sz w:val="28"/>
                <w:szCs w:val="28"/>
              </w:rPr>
            </w:pPr>
          </w:p>
        </w:tc>
        <w:tc>
          <w:tcPr>
            <w:tcW w:w="0" w:type="auto"/>
            <w:gridSpan w:val="3"/>
            <w:vAlign w:val="center"/>
          </w:tcPr>
          <w:p>
            <w:pPr>
              <w:spacing w:line="400" w:lineRule="exact"/>
              <w:rPr>
                <w:rFonts w:hint="default" w:ascii="宋体" w:hAnsi="宋体" w:eastAsia="宋体" w:cs="Times New Roman"/>
                <w:kern w:val="2"/>
                <w:sz w:val="28"/>
                <w:szCs w:val="36"/>
                <w:lang w:val="en-US" w:eastAsia="zh-CN" w:bidi="ar-SA"/>
              </w:rPr>
            </w:pPr>
            <w:r>
              <w:rPr>
                <w:rFonts w:hint="eastAsia" w:ascii="宋体" w:hAnsi="宋体"/>
                <w:color w:val="000000"/>
                <w:sz w:val="28"/>
                <w:szCs w:val="24"/>
              </w:rPr>
              <w:t>投标报价的偏差率计算公式：偏差率=100% ×（投标人报价－评标基准价）/评标基准价。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dxa"/>
            <w:vMerge w:val="continue"/>
            <w:tcBorders/>
          </w:tcPr>
          <w:p>
            <w:pPr>
              <w:adjustRightInd w:val="0"/>
              <w:snapToGrid w:val="0"/>
              <w:spacing w:line="440" w:lineRule="exact"/>
              <w:jc w:val="center"/>
              <w:rPr>
                <w:rFonts w:hint="eastAsia"/>
                <w:snapToGrid w:val="0"/>
                <w:sz w:val="28"/>
                <w:szCs w:val="28"/>
                <w:lang w:val="en-US" w:eastAsia="zh-CN"/>
              </w:rPr>
            </w:pPr>
          </w:p>
        </w:tc>
        <w:tc>
          <w:tcPr>
            <w:tcW w:w="854" w:type="dxa"/>
            <w:vMerge w:val="continue"/>
            <w:tcBorders/>
          </w:tcPr>
          <w:p>
            <w:pPr>
              <w:adjustRightInd w:val="0"/>
              <w:snapToGrid w:val="0"/>
              <w:spacing w:line="440" w:lineRule="exact"/>
              <w:jc w:val="center"/>
              <w:rPr>
                <w:rFonts w:hint="eastAsia"/>
                <w:snapToGrid w:val="0"/>
                <w:sz w:val="28"/>
                <w:szCs w:val="28"/>
              </w:rPr>
            </w:pPr>
          </w:p>
        </w:tc>
        <w:tc>
          <w:tcPr>
            <w:tcW w:w="0" w:type="auto"/>
            <w:gridSpan w:val="3"/>
            <w:vAlign w:val="center"/>
          </w:tcPr>
          <w:p>
            <w:pPr>
              <w:spacing w:line="400" w:lineRule="exact"/>
              <w:rPr>
                <w:rFonts w:hint="eastAsia" w:ascii="宋体" w:hAnsi="宋体"/>
                <w:color w:val="000000"/>
              </w:rPr>
            </w:pPr>
            <w:r>
              <w:rPr>
                <w:rFonts w:hint="eastAsia"/>
                <w:b/>
                <w:bCs/>
                <w:snapToGrid w:val="0"/>
                <w:sz w:val="28"/>
                <w:szCs w:val="28"/>
                <w:lang w:val="en-US" w:eastAsia="zh-CN"/>
              </w:rPr>
              <w:t>报价方式按照：上级部门批复的预算审核中的监理费*（1-成交下浮率），下浮率：</w:t>
            </w:r>
            <w:r>
              <w:rPr>
                <w:rFonts w:hint="eastAsia"/>
                <w:b/>
                <w:bCs/>
                <w:snapToGrid w:val="0"/>
                <w:sz w:val="28"/>
                <w:szCs w:val="28"/>
                <w:u w:val="single"/>
                <w:lang w:val="en-US" w:eastAsia="zh-CN"/>
              </w:rPr>
              <w:t xml:space="preserve">      </w:t>
            </w:r>
            <w:r>
              <w:rPr>
                <w:rFonts w:hint="eastAsia"/>
                <w:b/>
                <w:bCs/>
                <w:snapToGrid w:val="0"/>
                <w:sz w:val="28"/>
                <w:szCs w:val="28"/>
                <w:u w:val="none"/>
                <w:lang w:val="en-US" w:eastAsia="zh-CN"/>
              </w:rPr>
              <w:t>%</w:t>
            </w:r>
          </w:p>
        </w:tc>
      </w:tr>
    </w:tbl>
    <w:p>
      <w:pPr>
        <w:spacing w:line="540" w:lineRule="exact"/>
        <w:rPr>
          <w:rFonts w:hint="eastAsia"/>
          <w:b/>
          <w:snapToGrid w:val="0"/>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仿宋" w:hAnsi="仿宋" w:eastAsia="仿宋" w:cs="仿宋"/>
          <w:i w:val="0"/>
          <w:iCs w:val="0"/>
          <w:caps w:val="0"/>
          <w:snapToGrid/>
          <w:color w:val="000000"/>
          <w:spacing w:val="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宋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宋体" w:cs="楷体"/>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51F34"/>
    <w:rsid w:val="25983733"/>
    <w:rsid w:val="368E7A59"/>
    <w:rsid w:val="3DF51F34"/>
    <w:rsid w:val="40D6336A"/>
    <w:rsid w:val="4533747E"/>
    <w:rsid w:val="64FF04B5"/>
    <w:rsid w:val="694D1762"/>
    <w:rsid w:val="6E09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1589</Words>
  <Characters>1775</Characters>
  <Lines>0</Lines>
  <Paragraphs>0</Paragraphs>
  <TotalTime>12</TotalTime>
  <ScaleCrop>false</ScaleCrop>
  <LinksUpToDate>false</LinksUpToDate>
  <CharactersWithSpaces>1775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2025-07-07T01:15:00Z</dcterms:created>
  <dc:creator>辉</dc:creator>
  <cp:lastModifiedBy>Administrator</cp:lastModifiedBy>
  <dcterms:modified xsi:type="dcterms:W3CDTF">2008-12-31T16:25:25Z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567A6ABB7DE44E8081FBD9730995AAFC_11</vt:lpwstr>
  </property>
  <property fmtid="{D5CDD505-2E9C-101B-9397-08002B2CF9AE}" pid="4" name="KSOTemplateDocerSaveRecord">
    <vt:lpwstr>eyJoZGlkIjoiYmQ3ZWE0NDk3Y2QyMmE3NTMzNzhiOTQ3NTgwYjgwN2QiLCJ1c2VySWQiOiIyOTY0OTI0MzcifQ==</vt:lpwstr>
  </property>
</Properties>
</file>